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307C" w14:textId="32E12FDE" w:rsidR="00D71E8F" w:rsidRDefault="00D71E8F" w:rsidP="001037B7">
      <w:pPr>
        <w:jc w:val="center"/>
        <w:rPr>
          <w:rFonts w:cs="Times New Roman"/>
          <w:b/>
          <w:bCs/>
          <w:sz w:val="28"/>
          <w:szCs w:val="28"/>
        </w:rPr>
      </w:pPr>
    </w:p>
    <w:p w14:paraId="1C0BB6E0" w14:textId="2A48F533" w:rsidR="00D71E8F" w:rsidRDefault="00D71E8F" w:rsidP="00D71E8F">
      <w:pPr>
        <w:jc w:val="center"/>
      </w:pPr>
      <w:r>
        <w:rPr>
          <w:noProof/>
        </w:rPr>
        <w:drawing>
          <wp:inline distT="114300" distB="114300" distL="114300" distR="114300" wp14:anchorId="4BF3733A" wp14:editId="55985FC5">
            <wp:extent cx="4090988" cy="16870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090988" cy="1687005"/>
                    </a:xfrm>
                    <a:prstGeom prst="rect">
                      <a:avLst/>
                    </a:prstGeom>
                    <a:ln/>
                  </pic:spPr>
                </pic:pic>
              </a:graphicData>
            </a:graphic>
          </wp:inline>
        </w:drawing>
      </w:r>
    </w:p>
    <w:p w14:paraId="08736DA5" w14:textId="77777777" w:rsidR="00D71E8F" w:rsidRDefault="00D71E8F"/>
    <w:p w14:paraId="4F42043E" w14:textId="77777777" w:rsidR="00D71E8F" w:rsidRDefault="00D71E8F"/>
    <w:p w14:paraId="32A9AC4B" w14:textId="77777777" w:rsidR="00D71E8F" w:rsidRDefault="00D71E8F"/>
    <w:p w14:paraId="3243970F" w14:textId="77777777" w:rsidR="00D71E8F" w:rsidRDefault="00D71E8F">
      <w:pPr>
        <w:rPr>
          <w:rFonts w:eastAsia="Times New Roman" w:cs="Times New Roman"/>
          <w:sz w:val="28"/>
          <w:szCs w:val="28"/>
        </w:rPr>
      </w:pPr>
    </w:p>
    <w:p w14:paraId="6606DDCF" w14:textId="77777777" w:rsidR="00D71E8F" w:rsidRDefault="00D71E8F">
      <w:pPr>
        <w:ind w:left="1440" w:right="1440"/>
        <w:jc w:val="center"/>
        <w:rPr>
          <w:rFonts w:eastAsia="Times New Roman" w:cs="Times New Roman"/>
          <w:sz w:val="28"/>
          <w:szCs w:val="28"/>
        </w:rPr>
      </w:pPr>
      <w:proofErr w:type="gramStart"/>
      <w:r>
        <w:rPr>
          <w:rFonts w:eastAsia="Times New Roman" w:cs="Times New Roman"/>
          <w:sz w:val="28"/>
          <w:szCs w:val="28"/>
        </w:rPr>
        <w:t>December,</w:t>
      </w:r>
      <w:proofErr w:type="gramEnd"/>
      <w:r>
        <w:rPr>
          <w:rFonts w:eastAsia="Times New Roman" w:cs="Times New Roman"/>
          <w:sz w:val="28"/>
          <w:szCs w:val="28"/>
        </w:rPr>
        <w:t xml:space="preserve"> 2022</w:t>
      </w:r>
    </w:p>
    <w:p w14:paraId="3078335B" w14:textId="77777777" w:rsidR="00D71E8F" w:rsidRDefault="00D71E8F">
      <w:pPr>
        <w:ind w:left="1440" w:right="1440"/>
        <w:jc w:val="both"/>
        <w:rPr>
          <w:rFonts w:eastAsia="Times New Roman" w:cs="Times New Roman"/>
          <w:sz w:val="28"/>
          <w:szCs w:val="28"/>
        </w:rPr>
      </w:pPr>
    </w:p>
    <w:p w14:paraId="0E56E5C8" w14:textId="77777777" w:rsidR="00D71E8F" w:rsidRDefault="00D71E8F">
      <w:pPr>
        <w:ind w:left="1440" w:right="1440"/>
        <w:jc w:val="both"/>
        <w:rPr>
          <w:rFonts w:eastAsia="Times New Roman" w:cs="Times New Roman"/>
          <w:sz w:val="28"/>
          <w:szCs w:val="28"/>
        </w:rPr>
      </w:pPr>
      <w:r>
        <w:rPr>
          <w:rFonts w:eastAsia="Times New Roman" w:cs="Times New Roman"/>
          <w:sz w:val="28"/>
          <w:szCs w:val="28"/>
        </w:rPr>
        <w:t xml:space="preserve">This Sample Term Sheet was created by the Innovative Finance Project, led by teams from Blueprint Local and the Drexel University Metro Finance Lab, and managed by </w:t>
      </w:r>
      <w:hyperlink r:id="rId10">
        <w:r>
          <w:rPr>
            <w:rFonts w:eastAsia="Times New Roman" w:cs="Times New Roman"/>
            <w:color w:val="1155CC"/>
            <w:sz w:val="28"/>
            <w:szCs w:val="28"/>
            <w:u w:val="single"/>
          </w:rPr>
          <w:t>Catalyze</w:t>
        </w:r>
      </w:hyperlink>
      <w:r>
        <w:rPr>
          <w:rFonts w:eastAsia="Times New Roman" w:cs="Times New Roman"/>
          <w:sz w:val="28"/>
          <w:szCs w:val="28"/>
        </w:rPr>
        <w:t xml:space="preserve">. </w:t>
      </w:r>
    </w:p>
    <w:p w14:paraId="36B9D437" w14:textId="77777777" w:rsidR="00D71E8F" w:rsidRDefault="00D71E8F">
      <w:pPr>
        <w:ind w:left="1440" w:right="1440"/>
        <w:jc w:val="both"/>
        <w:rPr>
          <w:rFonts w:eastAsia="Times New Roman" w:cs="Times New Roman"/>
          <w:sz w:val="28"/>
          <w:szCs w:val="28"/>
        </w:rPr>
      </w:pPr>
    </w:p>
    <w:p w14:paraId="120F226B" w14:textId="77777777" w:rsidR="00D71E8F" w:rsidRDefault="00D71E8F">
      <w:pPr>
        <w:ind w:left="1440" w:right="1440"/>
        <w:jc w:val="both"/>
        <w:rPr>
          <w:rFonts w:eastAsia="Times New Roman" w:cs="Times New Roman"/>
          <w:sz w:val="28"/>
          <w:szCs w:val="28"/>
        </w:rPr>
      </w:pPr>
      <w:r>
        <w:rPr>
          <w:rFonts w:eastAsia="Times New Roman" w:cs="Times New Roman"/>
          <w:sz w:val="28"/>
          <w:szCs w:val="28"/>
        </w:rPr>
        <w:t xml:space="preserve">The creation of this term sheet </w:t>
      </w:r>
      <w:proofErr w:type="gramStart"/>
      <w:r>
        <w:rPr>
          <w:rFonts w:eastAsia="Times New Roman" w:cs="Times New Roman"/>
          <w:sz w:val="28"/>
          <w:szCs w:val="28"/>
        </w:rPr>
        <w:t>in particular was</w:t>
      </w:r>
      <w:proofErr w:type="gramEnd"/>
      <w:r>
        <w:rPr>
          <w:rFonts w:eastAsia="Times New Roman" w:cs="Times New Roman"/>
          <w:sz w:val="28"/>
          <w:szCs w:val="28"/>
        </w:rPr>
        <w:t xml:space="preserve"> led by </w:t>
      </w:r>
      <w:proofErr w:type="spellStart"/>
      <w:r>
        <w:rPr>
          <w:rFonts w:eastAsia="Times New Roman" w:cs="Times New Roman"/>
          <w:sz w:val="28"/>
          <w:szCs w:val="28"/>
        </w:rPr>
        <w:t>Aunnie</w:t>
      </w:r>
      <w:proofErr w:type="spellEnd"/>
      <w:r>
        <w:rPr>
          <w:rFonts w:eastAsia="Times New Roman" w:cs="Times New Roman"/>
          <w:sz w:val="28"/>
          <w:szCs w:val="28"/>
        </w:rPr>
        <w:t xml:space="preserve"> Patton Power, author of Adventure Finance, and supported by a broad network of expert practitioners around the world, including several key legal experts such as RPCK </w:t>
      </w:r>
      <w:proofErr w:type="spellStart"/>
      <w:r>
        <w:rPr>
          <w:rFonts w:eastAsia="Times New Roman" w:cs="Times New Roman"/>
          <w:sz w:val="28"/>
          <w:szCs w:val="28"/>
        </w:rPr>
        <w:t>Rastegar</w:t>
      </w:r>
      <w:proofErr w:type="spellEnd"/>
      <w:r>
        <w:rPr>
          <w:rFonts w:eastAsia="Times New Roman" w:cs="Times New Roman"/>
          <w:sz w:val="28"/>
          <w:szCs w:val="28"/>
        </w:rPr>
        <w:t xml:space="preserve"> Panchal. </w:t>
      </w:r>
    </w:p>
    <w:p w14:paraId="69A80D94" w14:textId="77777777" w:rsidR="00D71E8F" w:rsidRDefault="00D71E8F">
      <w:pPr>
        <w:ind w:left="1440" w:right="1440"/>
        <w:jc w:val="both"/>
        <w:rPr>
          <w:rFonts w:eastAsia="Times New Roman" w:cs="Times New Roman"/>
          <w:sz w:val="28"/>
          <w:szCs w:val="28"/>
        </w:rPr>
      </w:pPr>
    </w:p>
    <w:p w14:paraId="6F1DD522" w14:textId="77777777" w:rsidR="00D71E8F" w:rsidRDefault="00D71E8F">
      <w:pPr>
        <w:ind w:left="1440" w:right="1440"/>
        <w:jc w:val="both"/>
        <w:rPr>
          <w:rFonts w:eastAsia="Times New Roman" w:cs="Times New Roman"/>
          <w:sz w:val="28"/>
          <w:szCs w:val="28"/>
        </w:rPr>
      </w:pPr>
      <w:r>
        <w:rPr>
          <w:rFonts w:eastAsia="Times New Roman" w:cs="Times New Roman"/>
          <w:sz w:val="28"/>
          <w:szCs w:val="28"/>
        </w:rPr>
        <w:t xml:space="preserve">To read more about the landscape of innovative capital products for entrepreneurs, download additional resources, and get in touch with our team, visit </w:t>
      </w:r>
      <w:hyperlink r:id="rId11">
        <w:proofErr w:type="spellStart"/>
        <w:proofErr w:type="gramStart"/>
        <w:r>
          <w:rPr>
            <w:rFonts w:eastAsia="Times New Roman" w:cs="Times New Roman"/>
            <w:color w:val="1155CC"/>
            <w:sz w:val="28"/>
            <w:szCs w:val="28"/>
            <w:u w:val="single"/>
          </w:rPr>
          <w:t>innovative.finance</w:t>
        </w:r>
        <w:proofErr w:type="spellEnd"/>
        <w:proofErr w:type="gramEnd"/>
        <w:r>
          <w:rPr>
            <w:rFonts w:eastAsia="Times New Roman" w:cs="Times New Roman"/>
            <w:color w:val="1155CC"/>
            <w:sz w:val="28"/>
            <w:szCs w:val="28"/>
            <w:u w:val="single"/>
          </w:rPr>
          <w:t xml:space="preserve"> </w:t>
        </w:r>
      </w:hyperlink>
    </w:p>
    <w:p w14:paraId="6686688B" w14:textId="77777777" w:rsidR="00D71E8F" w:rsidRDefault="00D71E8F"/>
    <w:p w14:paraId="4D658B9D" w14:textId="77777777" w:rsidR="00D71E8F" w:rsidRDefault="00D71E8F"/>
    <w:p w14:paraId="4BA9EE2F" w14:textId="77777777" w:rsidR="00D71E8F" w:rsidRDefault="00D71E8F"/>
    <w:p w14:paraId="03F626A0" w14:textId="70EED5E4" w:rsidR="00D71E8F" w:rsidRDefault="00D71E8F">
      <w:pPr>
        <w:rPr>
          <w:rFonts w:cs="Times New Roman"/>
          <w:b/>
          <w:bCs/>
          <w:sz w:val="28"/>
          <w:szCs w:val="28"/>
        </w:rPr>
      </w:pPr>
    </w:p>
    <w:p w14:paraId="15906CF0" w14:textId="60AFF63F" w:rsidR="00D71E8F" w:rsidRDefault="00D71E8F">
      <w:pPr>
        <w:rPr>
          <w:rFonts w:cs="Times New Roman"/>
          <w:b/>
          <w:bCs/>
          <w:sz w:val="28"/>
          <w:szCs w:val="28"/>
        </w:rPr>
      </w:pPr>
    </w:p>
    <w:p w14:paraId="5986BE87" w14:textId="2148339C" w:rsidR="00D71E8F" w:rsidRDefault="00D71E8F">
      <w:pPr>
        <w:rPr>
          <w:rFonts w:cs="Times New Roman"/>
          <w:b/>
          <w:bCs/>
          <w:sz w:val="28"/>
          <w:szCs w:val="28"/>
        </w:rPr>
      </w:pPr>
    </w:p>
    <w:p w14:paraId="69F0B718" w14:textId="52AD023D" w:rsidR="00D71E8F" w:rsidRDefault="00D71E8F">
      <w:pPr>
        <w:rPr>
          <w:rFonts w:cs="Times New Roman"/>
          <w:b/>
          <w:bCs/>
          <w:sz w:val="28"/>
          <w:szCs w:val="28"/>
        </w:rPr>
      </w:pPr>
    </w:p>
    <w:p w14:paraId="523BB4ED" w14:textId="5798CEF9" w:rsidR="00D71E8F" w:rsidRDefault="00D71E8F">
      <w:pPr>
        <w:rPr>
          <w:rFonts w:cs="Times New Roman"/>
          <w:b/>
          <w:bCs/>
          <w:sz w:val="28"/>
          <w:szCs w:val="28"/>
        </w:rPr>
      </w:pPr>
    </w:p>
    <w:p w14:paraId="1C490F5C" w14:textId="77777777" w:rsidR="00D71E8F" w:rsidRDefault="00D71E8F">
      <w:pPr>
        <w:rPr>
          <w:rFonts w:cs="Times New Roman"/>
          <w:b/>
          <w:bCs/>
          <w:sz w:val="28"/>
          <w:szCs w:val="28"/>
        </w:rPr>
      </w:pPr>
    </w:p>
    <w:p w14:paraId="0BBB7E19" w14:textId="77777777" w:rsidR="00D71E8F" w:rsidRDefault="00D71E8F" w:rsidP="001037B7">
      <w:pPr>
        <w:jc w:val="center"/>
        <w:rPr>
          <w:rFonts w:cs="Times New Roman"/>
          <w:b/>
          <w:bCs/>
          <w:sz w:val="28"/>
          <w:szCs w:val="28"/>
        </w:rPr>
      </w:pPr>
    </w:p>
    <w:p w14:paraId="36CB8F83" w14:textId="62CAF692" w:rsidR="001037B7" w:rsidRDefault="001037B7" w:rsidP="001037B7">
      <w:pPr>
        <w:jc w:val="center"/>
        <w:rPr>
          <w:rFonts w:cs="Times New Roman"/>
          <w:b/>
          <w:bCs/>
          <w:sz w:val="28"/>
          <w:szCs w:val="28"/>
        </w:rPr>
      </w:pPr>
      <w:r w:rsidRPr="00427961">
        <w:rPr>
          <w:rFonts w:cs="Times New Roman"/>
          <w:b/>
          <w:bCs/>
          <w:sz w:val="28"/>
          <w:szCs w:val="28"/>
        </w:rPr>
        <w:lastRenderedPageBreak/>
        <w:t>[INVESTOR]</w:t>
      </w:r>
    </w:p>
    <w:p w14:paraId="3A4D6729" w14:textId="77777777" w:rsidR="001037B7" w:rsidRDefault="001037B7" w:rsidP="001037B7">
      <w:pPr>
        <w:jc w:val="center"/>
        <w:rPr>
          <w:rFonts w:cs="Times New Roman"/>
          <w:b/>
          <w:bCs/>
          <w:sz w:val="28"/>
          <w:szCs w:val="28"/>
        </w:rPr>
      </w:pPr>
      <w:r>
        <w:rPr>
          <w:rFonts w:cs="Times New Roman"/>
          <w:b/>
          <w:bCs/>
          <w:sz w:val="28"/>
          <w:szCs w:val="28"/>
        </w:rPr>
        <w:t>[COMPANY]</w:t>
      </w:r>
    </w:p>
    <w:p w14:paraId="2F830280" w14:textId="77777777" w:rsidR="001037B7" w:rsidRPr="001037B7" w:rsidRDefault="001037B7" w:rsidP="001037B7">
      <w:pPr>
        <w:jc w:val="center"/>
        <w:rPr>
          <w:rFonts w:cs="Times New Roman"/>
          <w:b/>
          <w:bCs/>
          <w:sz w:val="28"/>
          <w:szCs w:val="28"/>
        </w:rPr>
      </w:pPr>
    </w:p>
    <w:p w14:paraId="080EA13B" w14:textId="77777777" w:rsidR="001037B7" w:rsidRDefault="001037B7" w:rsidP="001037B7">
      <w:pPr>
        <w:jc w:val="center"/>
        <w:rPr>
          <w:rFonts w:cs="Times New Roman"/>
          <w:b/>
          <w:bCs/>
          <w:sz w:val="22"/>
          <w:szCs w:val="22"/>
        </w:rPr>
      </w:pPr>
      <w:r w:rsidRPr="001037B7">
        <w:rPr>
          <w:rFonts w:cs="Times New Roman"/>
          <w:b/>
          <w:bCs/>
          <w:sz w:val="22"/>
          <w:szCs w:val="22"/>
        </w:rPr>
        <w:t>TERM SHEET</w:t>
      </w:r>
    </w:p>
    <w:p w14:paraId="66B26677" w14:textId="77777777" w:rsidR="001037B7" w:rsidRDefault="001037B7" w:rsidP="001037B7">
      <w:pPr>
        <w:jc w:val="center"/>
        <w:rPr>
          <w:rFonts w:cs="Times New Roman"/>
          <w:b/>
          <w:bCs/>
          <w:sz w:val="22"/>
          <w:szCs w:val="22"/>
        </w:rPr>
      </w:pPr>
    </w:p>
    <w:p w14:paraId="7D8121A7" w14:textId="731AEE4D" w:rsidR="00640F26" w:rsidRDefault="003F57A9" w:rsidP="001037B7">
      <w:pPr>
        <w:jc w:val="center"/>
        <w:rPr>
          <w:rFonts w:cs="Times New Roman"/>
          <w:b/>
          <w:bCs/>
          <w:sz w:val="22"/>
          <w:szCs w:val="22"/>
        </w:rPr>
      </w:pPr>
      <w:r w:rsidRPr="001037B7">
        <w:rPr>
          <w:rFonts w:cs="Times New Roman"/>
          <w:b/>
          <w:bCs/>
          <w:sz w:val="22"/>
          <w:szCs w:val="22"/>
        </w:rPr>
        <w:t>REVENUE-BASED LENDING</w:t>
      </w:r>
      <w:r w:rsidR="00761949" w:rsidRPr="001037B7">
        <w:rPr>
          <w:rStyle w:val="FootnoteReference"/>
          <w:rFonts w:eastAsia="Times New Roman" w:cs="Times New Roman"/>
          <w:b/>
          <w:bCs/>
          <w:sz w:val="22"/>
          <w:szCs w:val="22"/>
        </w:rPr>
        <w:footnoteReference w:id="1"/>
      </w:r>
    </w:p>
    <w:p w14:paraId="6801B65F" w14:textId="77777777" w:rsidR="0092117B" w:rsidRDefault="0092117B" w:rsidP="001037B7">
      <w:pPr>
        <w:jc w:val="center"/>
        <w:rPr>
          <w:rFonts w:cs="Times New Roman"/>
          <w:b/>
          <w:bCs/>
          <w:sz w:val="22"/>
          <w:szCs w:val="22"/>
        </w:rPr>
      </w:pPr>
    </w:p>
    <w:p w14:paraId="785DCB7A" w14:textId="77777777" w:rsidR="001037B7" w:rsidRPr="001037B7" w:rsidRDefault="001037B7" w:rsidP="001037B7">
      <w:pPr>
        <w:jc w:val="center"/>
        <w:rPr>
          <w:rFonts w:cs="Times New Roman"/>
          <w:sz w:val="22"/>
          <w:szCs w:val="22"/>
        </w:rPr>
      </w:pPr>
      <w:r w:rsidRPr="001037B7">
        <w:rPr>
          <w:rFonts w:cs="Times New Roman"/>
          <w:sz w:val="22"/>
          <w:szCs w:val="22"/>
        </w:rPr>
        <w:t>_________ __, 202_</w:t>
      </w:r>
    </w:p>
    <w:p w14:paraId="557E4CB4" w14:textId="77777777" w:rsidR="001037B7" w:rsidRPr="001037B7" w:rsidRDefault="001037B7" w:rsidP="001037B7">
      <w:pPr>
        <w:jc w:val="center"/>
        <w:rPr>
          <w:rFonts w:cs="Times New Roman"/>
          <w:b/>
          <w:bCs/>
          <w:sz w:val="22"/>
          <w:szCs w:val="22"/>
        </w:rPr>
      </w:pPr>
    </w:p>
    <w:p w14:paraId="00000008" w14:textId="77777777" w:rsidR="00BA6F04" w:rsidRPr="006540C0" w:rsidRDefault="00BA6F04">
      <w:pPr>
        <w:jc w:val="center"/>
        <w:rPr>
          <w:rFonts w:eastAsia="Times New Roman" w:cs="Times New Roman"/>
          <w:sz w:val="22"/>
          <w:szCs w:val="22"/>
        </w:rPr>
      </w:pPr>
    </w:p>
    <w:p w14:paraId="444988E9" w14:textId="77777777" w:rsidR="0092117B" w:rsidRDefault="0092117B" w:rsidP="00DB2C66">
      <w:pPr>
        <w:pStyle w:val="BodyText"/>
        <w:rPr>
          <w:rFonts w:cs="Times New Roman"/>
          <w:iCs/>
          <w:sz w:val="22"/>
          <w:szCs w:val="22"/>
        </w:rPr>
      </w:pPr>
    </w:p>
    <w:p w14:paraId="289C2834" w14:textId="676FBA43" w:rsidR="00DB2C66" w:rsidRPr="0092117B" w:rsidRDefault="002C4EBF" w:rsidP="00DB2C66">
      <w:pPr>
        <w:pStyle w:val="BodyText"/>
        <w:rPr>
          <w:iCs/>
          <w:sz w:val="22"/>
          <w:szCs w:val="22"/>
        </w:rPr>
      </w:pPr>
      <w:r w:rsidRPr="0092117B">
        <w:rPr>
          <w:rFonts w:cs="Times New Roman"/>
          <w:iCs/>
          <w:sz w:val="22"/>
          <w:szCs w:val="22"/>
        </w:rPr>
        <w:t>This term sheet summarizes the terms with respect to</w:t>
      </w:r>
      <w:r w:rsidR="00327B11" w:rsidRPr="0092117B">
        <w:rPr>
          <w:rFonts w:cs="Times New Roman"/>
          <w:iCs/>
          <w:sz w:val="22"/>
          <w:szCs w:val="22"/>
        </w:rPr>
        <w:t xml:space="preserve"> the</w:t>
      </w:r>
      <w:r w:rsidRPr="0092117B">
        <w:rPr>
          <w:rFonts w:cs="Times New Roman"/>
          <w:iCs/>
          <w:sz w:val="22"/>
          <w:szCs w:val="22"/>
        </w:rPr>
        <w:t xml:space="preserve"> </w:t>
      </w:r>
      <w:r w:rsidR="00327B11" w:rsidRPr="0092117B">
        <w:rPr>
          <w:rFonts w:cs="Times New Roman"/>
          <w:iCs/>
          <w:sz w:val="22"/>
          <w:szCs w:val="22"/>
        </w:rPr>
        <w:t>Revenue</w:t>
      </w:r>
      <w:r w:rsidR="003F57A9" w:rsidRPr="0092117B">
        <w:rPr>
          <w:rFonts w:cs="Times New Roman"/>
          <w:iCs/>
          <w:sz w:val="22"/>
          <w:szCs w:val="22"/>
        </w:rPr>
        <w:t>-</w:t>
      </w:r>
      <w:r w:rsidR="00327B11" w:rsidRPr="0092117B">
        <w:rPr>
          <w:rFonts w:cs="Times New Roman"/>
          <w:iCs/>
          <w:sz w:val="22"/>
          <w:szCs w:val="22"/>
        </w:rPr>
        <w:t xml:space="preserve">Based </w:t>
      </w:r>
      <w:r w:rsidR="004814F5" w:rsidRPr="0092117B">
        <w:rPr>
          <w:rFonts w:cs="Times New Roman"/>
          <w:iCs/>
          <w:sz w:val="22"/>
          <w:szCs w:val="22"/>
        </w:rPr>
        <w:t xml:space="preserve">Loan </w:t>
      </w:r>
      <w:r w:rsidRPr="0092117B">
        <w:rPr>
          <w:rFonts w:cs="Times New Roman"/>
          <w:iCs/>
          <w:sz w:val="22"/>
          <w:szCs w:val="22"/>
        </w:rPr>
        <w:t>(the “</w:t>
      </w:r>
      <w:r w:rsidR="004814F5" w:rsidRPr="0092117B">
        <w:rPr>
          <w:rFonts w:cs="Times New Roman"/>
          <w:iCs/>
          <w:sz w:val="22"/>
          <w:szCs w:val="22"/>
          <w:u w:val="single"/>
        </w:rPr>
        <w:t>RBL</w:t>
      </w:r>
      <w:r w:rsidRPr="0092117B">
        <w:rPr>
          <w:rFonts w:cs="Times New Roman"/>
          <w:iCs/>
          <w:sz w:val="22"/>
          <w:szCs w:val="22"/>
        </w:rPr>
        <w:t xml:space="preserve">”). </w:t>
      </w:r>
      <w:r w:rsidR="00DB2C66" w:rsidRPr="0092117B">
        <w:rPr>
          <w:rFonts w:cs="Times New Roman"/>
          <w:iCs/>
          <w:sz w:val="22"/>
          <w:szCs w:val="22"/>
        </w:rPr>
        <w:t>Except as described herein, t</w:t>
      </w:r>
      <w:r w:rsidRPr="0092117B">
        <w:rPr>
          <w:rFonts w:cs="Times New Roman"/>
          <w:iCs/>
          <w:sz w:val="22"/>
          <w:szCs w:val="22"/>
        </w:rPr>
        <w:t>his term sheet is</w:t>
      </w:r>
      <w:r w:rsidR="00BC7089" w:rsidRPr="0092117B">
        <w:rPr>
          <w:rFonts w:cs="Times New Roman"/>
          <w:iCs/>
          <w:sz w:val="22"/>
          <w:szCs w:val="22"/>
        </w:rPr>
        <w:t xml:space="preserve"> non-binding and is</w:t>
      </w:r>
      <w:r w:rsidRPr="0092117B">
        <w:rPr>
          <w:rFonts w:cs="Times New Roman"/>
          <w:iCs/>
          <w:sz w:val="22"/>
          <w:szCs w:val="22"/>
        </w:rPr>
        <w:t xml:space="preserve"> intended solely as a basis for discussion and</w:t>
      </w:r>
      <w:r w:rsidR="00071F5C" w:rsidRPr="0092117B">
        <w:rPr>
          <w:rFonts w:cs="Times New Roman"/>
          <w:iCs/>
          <w:sz w:val="22"/>
          <w:szCs w:val="22"/>
        </w:rPr>
        <w:t xml:space="preserve"> negotiation of</w:t>
      </w:r>
      <w:r w:rsidRPr="0092117B">
        <w:rPr>
          <w:rFonts w:cs="Times New Roman"/>
          <w:iCs/>
          <w:sz w:val="22"/>
          <w:szCs w:val="22"/>
        </w:rPr>
        <w:t xml:space="preserve"> </w:t>
      </w:r>
      <w:r w:rsidR="00D81C56" w:rsidRPr="0092117B">
        <w:rPr>
          <w:rFonts w:cs="Times New Roman"/>
          <w:iCs/>
          <w:sz w:val="22"/>
          <w:szCs w:val="22"/>
        </w:rPr>
        <w:t>definitive documentation</w:t>
      </w:r>
      <w:r w:rsidRPr="0092117B">
        <w:rPr>
          <w:rFonts w:cs="Times New Roman"/>
          <w:iCs/>
          <w:sz w:val="22"/>
          <w:szCs w:val="22"/>
        </w:rPr>
        <w:t xml:space="preserve"> </w:t>
      </w:r>
      <w:r w:rsidR="00316A7D" w:rsidRPr="0092117B">
        <w:rPr>
          <w:rFonts w:cs="Times New Roman"/>
          <w:iCs/>
          <w:sz w:val="22"/>
          <w:szCs w:val="22"/>
        </w:rPr>
        <w:t>(the “</w:t>
      </w:r>
      <w:r w:rsidR="00FB4DC5" w:rsidRPr="0092117B">
        <w:rPr>
          <w:rFonts w:cs="Times New Roman"/>
          <w:iCs/>
          <w:sz w:val="22"/>
          <w:szCs w:val="22"/>
          <w:u w:val="single"/>
        </w:rPr>
        <w:t xml:space="preserve">RBL </w:t>
      </w:r>
      <w:r w:rsidR="00316A7D" w:rsidRPr="0092117B">
        <w:rPr>
          <w:rFonts w:cs="Times New Roman"/>
          <w:iCs/>
          <w:sz w:val="22"/>
          <w:szCs w:val="22"/>
          <w:u w:val="single"/>
        </w:rPr>
        <w:t>Documents</w:t>
      </w:r>
      <w:r w:rsidR="00316A7D" w:rsidRPr="0092117B">
        <w:rPr>
          <w:rFonts w:cs="Times New Roman"/>
          <w:iCs/>
          <w:sz w:val="22"/>
          <w:szCs w:val="22"/>
        </w:rPr>
        <w:t>”)</w:t>
      </w:r>
      <w:r w:rsidR="00071F5C" w:rsidRPr="0092117B">
        <w:rPr>
          <w:rFonts w:cs="Times New Roman"/>
          <w:iCs/>
          <w:sz w:val="22"/>
          <w:szCs w:val="22"/>
        </w:rPr>
        <w:t xml:space="preserve">, which </w:t>
      </w:r>
      <w:r w:rsidR="00D81C56" w:rsidRPr="0092117B">
        <w:rPr>
          <w:rFonts w:cs="Times New Roman"/>
          <w:iCs/>
          <w:sz w:val="22"/>
          <w:szCs w:val="22"/>
        </w:rPr>
        <w:t>will</w:t>
      </w:r>
      <w:r w:rsidRPr="0092117B">
        <w:rPr>
          <w:rFonts w:cs="Times New Roman"/>
          <w:iCs/>
          <w:sz w:val="22"/>
          <w:szCs w:val="22"/>
        </w:rPr>
        <w:t xml:space="preserve"> supersede </w:t>
      </w:r>
      <w:proofErr w:type="gramStart"/>
      <w:r w:rsidRPr="0092117B">
        <w:rPr>
          <w:rFonts w:cs="Times New Roman"/>
          <w:iCs/>
          <w:sz w:val="22"/>
          <w:szCs w:val="22"/>
        </w:rPr>
        <w:t>any and all</w:t>
      </w:r>
      <w:proofErr w:type="gramEnd"/>
      <w:r w:rsidRPr="0092117B">
        <w:rPr>
          <w:rFonts w:cs="Times New Roman"/>
          <w:iCs/>
          <w:sz w:val="22"/>
          <w:szCs w:val="22"/>
        </w:rPr>
        <w:t xml:space="preserve"> previous agreements.</w:t>
      </w:r>
      <w:r w:rsidR="00D81C56" w:rsidRPr="0092117B">
        <w:rPr>
          <w:rFonts w:cs="Times New Roman"/>
          <w:iCs/>
          <w:sz w:val="22"/>
          <w:szCs w:val="22"/>
        </w:rPr>
        <w:t xml:space="preserve"> </w:t>
      </w:r>
      <w:r w:rsidR="003F57A9" w:rsidRPr="0092117B">
        <w:rPr>
          <w:rFonts w:cs="Times New Roman"/>
          <w:iCs/>
          <w:sz w:val="22"/>
          <w:szCs w:val="22"/>
        </w:rPr>
        <w:t xml:space="preserve">This term sheet does not obligate </w:t>
      </w:r>
      <w:r w:rsidR="003C6817" w:rsidRPr="0092117B">
        <w:rPr>
          <w:rFonts w:cs="Times New Roman"/>
          <w:iCs/>
          <w:sz w:val="22"/>
          <w:szCs w:val="22"/>
        </w:rPr>
        <w:t xml:space="preserve">the </w:t>
      </w:r>
      <w:r w:rsidR="003F57A9" w:rsidRPr="0092117B">
        <w:rPr>
          <w:rFonts w:cs="Times New Roman"/>
          <w:iCs/>
          <w:sz w:val="22"/>
          <w:szCs w:val="22"/>
        </w:rPr>
        <w:t>Lender to provide any capital to the Company.</w:t>
      </w:r>
      <w:r w:rsidR="00DB2C66" w:rsidRPr="0092117B">
        <w:rPr>
          <w:rFonts w:ascii="TimesNewRomanPS" w:eastAsia="Times New Roman" w:hAnsi="TimesNewRomanPS" w:cs="Times New Roman"/>
          <w:b/>
          <w:iCs/>
          <w:lang w:eastAsia="zh-CN"/>
        </w:rPr>
        <w:t xml:space="preserve"> </w:t>
      </w:r>
      <w:r w:rsidR="00DB2C66" w:rsidRPr="0092117B">
        <w:rPr>
          <w:iCs/>
          <w:sz w:val="22"/>
          <w:szCs w:val="22"/>
        </w:rPr>
        <w:t xml:space="preserve">Notwithstanding anything to the contrary herein, the parties acknowledge and agree that their respective agreements set forth below under the headings “Costs and Expenses”, “Confidentiality”, and “No-Shop” are intended to be, and are, binding and enforceable agreements of the parties with respect to such matters. </w:t>
      </w:r>
    </w:p>
    <w:p w14:paraId="559C06FE" w14:textId="5DC51557" w:rsidR="00A50A17" w:rsidRDefault="00A50A17" w:rsidP="00DB2C66">
      <w:pPr>
        <w:pStyle w:val="BodyText"/>
        <w:rPr>
          <w:iCs/>
          <w:sz w:val="22"/>
          <w:szCs w:val="22"/>
        </w:rPr>
      </w:pPr>
    </w:p>
    <w:p w14:paraId="6CD086FD" w14:textId="77777777" w:rsidR="00A50A17" w:rsidRDefault="00A50A17" w:rsidP="00DB2C66">
      <w:pPr>
        <w:pStyle w:val="BodyText"/>
        <w:rPr>
          <w:iCs/>
          <w:sz w:val="22"/>
          <w:szCs w:val="22"/>
        </w:rPr>
      </w:pPr>
    </w:p>
    <w:p w14:paraId="091AE27E" w14:textId="24BE5984" w:rsidR="0092117B" w:rsidRPr="0092117B" w:rsidRDefault="0092117B" w:rsidP="00DB2C66">
      <w:pPr>
        <w:pStyle w:val="BodyText"/>
        <w:rPr>
          <w:iCs/>
          <w:sz w:val="22"/>
          <w:szCs w:val="22"/>
        </w:rPr>
      </w:pPr>
    </w:p>
    <w:tbl>
      <w:tblPr>
        <w:tblStyle w:val="a1"/>
        <w:tblW w:w="10440" w:type="dxa"/>
        <w:tblInd w:w="-455" w:type="dxa"/>
        <w:tblLayout w:type="fixed"/>
        <w:tblLook w:val="04A0" w:firstRow="1" w:lastRow="0" w:firstColumn="1" w:lastColumn="0" w:noHBand="0" w:noVBand="1"/>
      </w:tblPr>
      <w:tblGrid>
        <w:gridCol w:w="2160"/>
        <w:gridCol w:w="8280"/>
      </w:tblGrid>
      <w:tr w:rsidR="00942837" w:rsidRPr="00C8279B" w14:paraId="178D0FB7" w14:textId="77777777" w:rsidTr="0048466A">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0440" w:type="dxa"/>
            <w:gridSpan w:val="2"/>
            <w:shd w:val="clear" w:color="auto" w:fill="auto"/>
          </w:tcPr>
          <w:p w14:paraId="15AFE266" w14:textId="1FD7D9DE" w:rsidR="00942837" w:rsidRPr="00C8279B" w:rsidRDefault="007B5BF5" w:rsidP="001037B7">
            <w:pPr>
              <w:spacing w:before="120" w:after="120"/>
              <w:jc w:val="center"/>
              <w:rPr>
                <w:rFonts w:eastAsia="Times New Roman" w:cs="Times New Roman"/>
                <w:bCs/>
                <w:sz w:val="22"/>
                <w:szCs w:val="22"/>
              </w:rPr>
            </w:pPr>
            <w:r w:rsidRPr="00C8279B">
              <w:rPr>
                <w:rFonts w:eastAsia="Times New Roman" w:cs="Times New Roman"/>
                <w:bCs/>
                <w:sz w:val="22"/>
                <w:szCs w:val="22"/>
              </w:rPr>
              <w:lastRenderedPageBreak/>
              <w:t>Revenue</w:t>
            </w:r>
            <w:r w:rsidR="00651240" w:rsidRPr="00C8279B">
              <w:rPr>
                <w:rFonts w:eastAsia="Times New Roman" w:cs="Times New Roman"/>
                <w:bCs/>
                <w:sz w:val="22"/>
                <w:szCs w:val="22"/>
              </w:rPr>
              <w:t>-</w:t>
            </w:r>
            <w:r w:rsidRPr="00C8279B">
              <w:rPr>
                <w:rFonts w:eastAsia="Times New Roman" w:cs="Times New Roman"/>
                <w:bCs/>
                <w:sz w:val="22"/>
                <w:szCs w:val="22"/>
              </w:rPr>
              <w:t xml:space="preserve">Based Loan </w:t>
            </w:r>
            <w:r w:rsidR="00942837" w:rsidRPr="00C8279B">
              <w:rPr>
                <w:rFonts w:eastAsia="Times New Roman" w:cs="Times New Roman"/>
                <w:bCs/>
                <w:sz w:val="22"/>
                <w:szCs w:val="22"/>
              </w:rPr>
              <w:t>Terms</w:t>
            </w:r>
          </w:p>
        </w:tc>
      </w:tr>
      <w:tr w:rsidR="00BA6F04" w:rsidRPr="00C8279B" w14:paraId="5F400835" w14:textId="77777777" w:rsidTr="0048466A">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0000000B" w14:textId="5097576D" w:rsidR="00BA6F04" w:rsidRPr="00C8279B" w:rsidRDefault="002C4EBF" w:rsidP="001037B7">
            <w:pPr>
              <w:spacing w:before="120" w:after="120"/>
              <w:rPr>
                <w:rFonts w:eastAsia="Times New Roman" w:cs="Times New Roman"/>
                <w:sz w:val="22"/>
                <w:szCs w:val="22"/>
              </w:rPr>
            </w:pPr>
            <w:r w:rsidRPr="00C8279B">
              <w:rPr>
                <w:rFonts w:eastAsia="Times New Roman" w:cs="Times New Roman"/>
                <w:sz w:val="22"/>
                <w:szCs w:val="22"/>
              </w:rPr>
              <w:t xml:space="preserve">Target </w:t>
            </w:r>
            <w:r w:rsidR="00392102" w:rsidRPr="00C8279B">
              <w:rPr>
                <w:rFonts w:eastAsia="Times New Roman" w:cs="Times New Roman"/>
                <w:sz w:val="22"/>
                <w:szCs w:val="22"/>
              </w:rPr>
              <w:t>C</w:t>
            </w:r>
            <w:r w:rsidRPr="00C8279B">
              <w:rPr>
                <w:rFonts w:eastAsia="Times New Roman" w:cs="Times New Roman"/>
                <w:sz w:val="22"/>
                <w:szCs w:val="22"/>
              </w:rPr>
              <w:t xml:space="preserve">lose </w:t>
            </w:r>
            <w:r w:rsidR="00392102" w:rsidRPr="00C8279B">
              <w:rPr>
                <w:rFonts w:eastAsia="Times New Roman" w:cs="Times New Roman"/>
                <w:sz w:val="22"/>
                <w:szCs w:val="22"/>
              </w:rPr>
              <w:t>D</w:t>
            </w:r>
            <w:r w:rsidRPr="00C8279B">
              <w:rPr>
                <w:rFonts w:eastAsia="Times New Roman" w:cs="Times New Roman"/>
                <w:sz w:val="22"/>
                <w:szCs w:val="22"/>
              </w:rPr>
              <w:t>ate</w:t>
            </w:r>
          </w:p>
        </w:tc>
        <w:tc>
          <w:tcPr>
            <w:tcW w:w="8280" w:type="dxa"/>
            <w:shd w:val="clear" w:color="auto" w:fill="auto"/>
          </w:tcPr>
          <w:p w14:paraId="0000000C" w14:textId="3A9FEDDE" w:rsidR="00BA6F04" w:rsidRPr="00C8279B" w:rsidRDefault="00392102" w:rsidP="001037B7">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rPr>
            </w:pPr>
            <w:r w:rsidRPr="00C8279B">
              <w:rPr>
                <w:rFonts w:eastAsia="Times New Roman" w:cs="Times New Roman"/>
                <w:b/>
                <w:sz w:val="22"/>
                <w:szCs w:val="22"/>
              </w:rPr>
              <w:t>[</w:t>
            </w:r>
            <w:r w:rsidRPr="00C8279B">
              <w:rPr>
                <w:rFonts w:eastAsia="Times New Roman" w:cs="Times New Roman"/>
                <w:bCs/>
                <w:sz w:val="22"/>
                <w:szCs w:val="22"/>
              </w:rPr>
              <w:t>Date</w:t>
            </w:r>
            <w:r w:rsidRPr="00C8279B">
              <w:rPr>
                <w:rFonts w:eastAsia="Times New Roman" w:cs="Times New Roman"/>
                <w:b/>
                <w:sz w:val="22"/>
                <w:szCs w:val="22"/>
              </w:rPr>
              <w:t>]</w:t>
            </w:r>
            <w:r w:rsidR="00942837" w:rsidRPr="00C8279B">
              <w:rPr>
                <w:rFonts w:eastAsia="Times New Roman" w:cs="Times New Roman"/>
                <w:b/>
                <w:sz w:val="22"/>
                <w:szCs w:val="22"/>
              </w:rPr>
              <w:t xml:space="preserve"> </w:t>
            </w:r>
            <w:r w:rsidR="00942837" w:rsidRPr="00C8279B">
              <w:rPr>
                <w:rFonts w:eastAsia="Times New Roman" w:cs="Times New Roman"/>
                <w:sz w:val="22"/>
                <w:szCs w:val="22"/>
              </w:rPr>
              <w:t>(the “</w:t>
            </w:r>
            <w:r w:rsidR="00942837" w:rsidRPr="00C8279B">
              <w:rPr>
                <w:rFonts w:eastAsia="Times New Roman" w:cs="Times New Roman"/>
                <w:sz w:val="22"/>
                <w:szCs w:val="22"/>
                <w:u w:val="single"/>
              </w:rPr>
              <w:t>Closing Date</w:t>
            </w:r>
            <w:r w:rsidR="00942837" w:rsidRPr="00C8279B">
              <w:rPr>
                <w:rFonts w:eastAsia="Times New Roman" w:cs="Times New Roman"/>
                <w:sz w:val="22"/>
                <w:szCs w:val="22"/>
              </w:rPr>
              <w:t>”)</w:t>
            </w:r>
          </w:p>
        </w:tc>
      </w:tr>
      <w:tr w:rsidR="00BA6F04" w:rsidRPr="00C8279B" w14:paraId="3687CC1F" w14:textId="77777777" w:rsidTr="0048466A">
        <w:trPr>
          <w:trHeight w:val="809"/>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0000000D" w14:textId="288A65DA" w:rsidR="00BA6F04" w:rsidRPr="00C8279B" w:rsidRDefault="00DB71E5" w:rsidP="001037B7">
            <w:pPr>
              <w:spacing w:before="120" w:after="120"/>
              <w:rPr>
                <w:rFonts w:eastAsia="Times New Roman" w:cs="Times New Roman"/>
                <w:sz w:val="22"/>
                <w:szCs w:val="22"/>
              </w:rPr>
            </w:pPr>
            <w:r w:rsidRPr="00C8279B">
              <w:rPr>
                <w:rFonts w:eastAsia="Times New Roman" w:cs="Times New Roman"/>
                <w:sz w:val="22"/>
                <w:szCs w:val="22"/>
              </w:rPr>
              <w:t>Company</w:t>
            </w:r>
          </w:p>
        </w:tc>
        <w:tc>
          <w:tcPr>
            <w:tcW w:w="8280" w:type="dxa"/>
            <w:shd w:val="clear" w:color="auto" w:fill="auto"/>
          </w:tcPr>
          <w:p w14:paraId="0000000E" w14:textId="24751E77" w:rsidR="00BA6F04" w:rsidRPr="00C8279B" w:rsidRDefault="00392102" w:rsidP="001037B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C8279B">
              <w:rPr>
                <w:rFonts w:cs="Times New Roman"/>
                <w:sz w:val="22"/>
                <w:szCs w:val="22"/>
              </w:rPr>
              <w:t>[Company Name]</w:t>
            </w:r>
            <w:r w:rsidR="001A76AD" w:rsidRPr="00C8279B">
              <w:rPr>
                <w:rFonts w:cs="Times New Roman"/>
                <w:sz w:val="22"/>
                <w:szCs w:val="22"/>
              </w:rPr>
              <w:t xml:space="preserve">, a </w:t>
            </w:r>
            <w:r w:rsidRPr="00C8279B">
              <w:rPr>
                <w:rFonts w:cs="Times New Roman"/>
                <w:sz w:val="22"/>
                <w:szCs w:val="22"/>
              </w:rPr>
              <w:t>[</w:t>
            </w:r>
            <w:r w:rsidR="00EE003C" w:rsidRPr="00C8279B">
              <w:rPr>
                <w:rFonts w:cs="Times New Roman"/>
                <w:sz w:val="22"/>
                <w:szCs w:val="22"/>
              </w:rPr>
              <w:t>Formation/</w:t>
            </w:r>
            <w:r w:rsidRPr="00C8279B">
              <w:rPr>
                <w:rFonts w:cs="Times New Roman"/>
                <w:sz w:val="22"/>
                <w:szCs w:val="22"/>
              </w:rPr>
              <w:t>Incorporation Jurisdiction] [Entity Type]</w:t>
            </w:r>
            <w:r w:rsidR="001A76AD" w:rsidRPr="00C8279B">
              <w:rPr>
                <w:rFonts w:cs="Times New Roman"/>
                <w:sz w:val="22"/>
                <w:szCs w:val="22"/>
              </w:rPr>
              <w:t xml:space="preserve"> </w:t>
            </w:r>
            <w:r w:rsidR="002C4EBF" w:rsidRPr="00C8279B">
              <w:rPr>
                <w:rFonts w:eastAsia="Times New Roman" w:cs="Times New Roman"/>
                <w:sz w:val="22"/>
                <w:szCs w:val="22"/>
              </w:rPr>
              <w:t>(the “</w:t>
            </w:r>
            <w:r w:rsidR="00DB71E5" w:rsidRPr="00C8279B">
              <w:rPr>
                <w:rFonts w:eastAsia="Times New Roman" w:cs="Times New Roman"/>
                <w:sz w:val="22"/>
                <w:szCs w:val="22"/>
                <w:u w:val="single"/>
              </w:rPr>
              <w:t>Company</w:t>
            </w:r>
            <w:r w:rsidR="002C4EBF" w:rsidRPr="00C8279B">
              <w:rPr>
                <w:rFonts w:eastAsia="Times New Roman" w:cs="Times New Roman"/>
                <w:sz w:val="22"/>
                <w:szCs w:val="22"/>
              </w:rPr>
              <w:t>”)</w:t>
            </w:r>
          </w:p>
        </w:tc>
      </w:tr>
      <w:tr w:rsidR="00BA6F04" w:rsidRPr="00C8279B" w14:paraId="12AE8633" w14:textId="77777777" w:rsidTr="0048466A">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0000000F" w14:textId="3561BA6C" w:rsidR="00BA6F04" w:rsidRPr="00C8279B" w:rsidRDefault="007B5BF5" w:rsidP="001037B7">
            <w:pPr>
              <w:spacing w:before="120" w:after="120"/>
              <w:rPr>
                <w:rFonts w:eastAsia="Times New Roman" w:cs="Times New Roman"/>
                <w:sz w:val="22"/>
                <w:szCs w:val="22"/>
              </w:rPr>
            </w:pPr>
            <w:r w:rsidRPr="00C8279B">
              <w:rPr>
                <w:rFonts w:eastAsia="Times New Roman" w:cs="Times New Roman"/>
                <w:sz w:val="22"/>
                <w:szCs w:val="22"/>
              </w:rPr>
              <w:t>Lender</w:t>
            </w:r>
            <w:r w:rsidR="007D7448" w:rsidRPr="00C8279B">
              <w:rPr>
                <w:rStyle w:val="FootnoteReference"/>
                <w:rFonts w:eastAsia="Times New Roman" w:cs="Times New Roman"/>
                <w:sz w:val="22"/>
                <w:szCs w:val="22"/>
              </w:rPr>
              <w:footnoteReference w:id="2"/>
            </w:r>
          </w:p>
        </w:tc>
        <w:tc>
          <w:tcPr>
            <w:tcW w:w="8280" w:type="dxa"/>
            <w:shd w:val="clear" w:color="auto" w:fill="auto"/>
          </w:tcPr>
          <w:p w14:paraId="00000010" w14:textId="0DCEE2B9" w:rsidR="00BA6F04" w:rsidRPr="00C8279B" w:rsidRDefault="00BF24C0" w:rsidP="001037B7">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rPr>
            </w:pPr>
            <w:r w:rsidRPr="00C8279B">
              <w:rPr>
                <w:rFonts w:cs="Times New Roman"/>
                <w:sz w:val="22"/>
                <w:szCs w:val="22"/>
              </w:rPr>
              <w:t>[</w:t>
            </w:r>
            <w:r w:rsidR="00924680" w:rsidRPr="00C8279B">
              <w:rPr>
                <w:rFonts w:cs="Times New Roman"/>
                <w:sz w:val="22"/>
                <w:szCs w:val="22"/>
              </w:rPr>
              <w:t xml:space="preserve">Lender </w:t>
            </w:r>
            <w:r w:rsidRPr="00C8279B">
              <w:rPr>
                <w:rFonts w:cs="Times New Roman"/>
                <w:sz w:val="22"/>
                <w:szCs w:val="22"/>
              </w:rPr>
              <w:t xml:space="preserve">Name], a [Formation/Incorporation Jurisdiction] [Entity Type] </w:t>
            </w:r>
            <w:r w:rsidR="002C4EBF" w:rsidRPr="00C8279B">
              <w:rPr>
                <w:rFonts w:eastAsia="Times New Roman" w:cs="Times New Roman"/>
                <w:sz w:val="22"/>
                <w:szCs w:val="22"/>
              </w:rPr>
              <w:t xml:space="preserve">(the </w:t>
            </w:r>
            <w:r w:rsidR="00A45479" w:rsidRPr="00C8279B">
              <w:rPr>
                <w:rFonts w:eastAsia="Times New Roman" w:cs="Times New Roman"/>
                <w:sz w:val="22"/>
                <w:szCs w:val="22"/>
              </w:rPr>
              <w:t>“</w:t>
            </w:r>
            <w:r w:rsidR="007B5BF5" w:rsidRPr="00C8279B">
              <w:rPr>
                <w:rFonts w:eastAsia="Times New Roman" w:cs="Times New Roman"/>
                <w:sz w:val="22"/>
                <w:szCs w:val="22"/>
                <w:u w:val="single"/>
              </w:rPr>
              <w:t>Lender</w:t>
            </w:r>
            <w:r w:rsidR="002C4EBF" w:rsidRPr="00C8279B">
              <w:rPr>
                <w:rFonts w:eastAsia="Times New Roman" w:cs="Times New Roman"/>
                <w:sz w:val="22"/>
                <w:szCs w:val="22"/>
              </w:rPr>
              <w:t xml:space="preserve">”) </w:t>
            </w:r>
          </w:p>
        </w:tc>
      </w:tr>
      <w:tr w:rsidR="0003798C" w:rsidRPr="00C8279B" w14:paraId="3B939D89" w14:textId="77777777" w:rsidTr="0048466A">
        <w:trPr>
          <w:trHeight w:val="602"/>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4AD4ABE1" w14:textId="78997133" w:rsidR="0003798C" w:rsidRPr="00C8279B" w:rsidRDefault="00AA50FC" w:rsidP="001037B7">
            <w:pPr>
              <w:spacing w:before="120" w:after="120"/>
              <w:rPr>
                <w:rFonts w:eastAsia="Times New Roman" w:cs="Times New Roman"/>
                <w:sz w:val="22"/>
                <w:szCs w:val="22"/>
              </w:rPr>
            </w:pPr>
            <w:r w:rsidRPr="00C8279B">
              <w:rPr>
                <w:rFonts w:eastAsia="Times New Roman" w:cs="Times New Roman"/>
                <w:sz w:val="22"/>
                <w:szCs w:val="22"/>
              </w:rPr>
              <w:t xml:space="preserve">Loan </w:t>
            </w:r>
            <w:r w:rsidR="008E1930" w:rsidRPr="00C8279B">
              <w:rPr>
                <w:rFonts w:eastAsia="Times New Roman" w:cs="Times New Roman"/>
                <w:sz w:val="22"/>
                <w:szCs w:val="22"/>
              </w:rPr>
              <w:t>Amount</w:t>
            </w:r>
            <w:r w:rsidR="00886B56" w:rsidRPr="00C8279B">
              <w:rPr>
                <w:rFonts w:eastAsia="Times New Roman" w:cs="Times New Roman"/>
                <w:sz w:val="22"/>
                <w:szCs w:val="22"/>
              </w:rPr>
              <w:t xml:space="preserve"> &amp; Disbursement</w:t>
            </w:r>
            <w:r w:rsidR="00241A86" w:rsidRPr="00C8279B">
              <w:rPr>
                <w:rStyle w:val="FootnoteReference"/>
                <w:rFonts w:eastAsia="Times New Roman" w:cs="Times New Roman"/>
                <w:bCs/>
                <w:sz w:val="22"/>
                <w:szCs w:val="22"/>
              </w:rPr>
              <w:footnoteReference w:id="3"/>
            </w:r>
          </w:p>
        </w:tc>
        <w:tc>
          <w:tcPr>
            <w:tcW w:w="8280" w:type="dxa"/>
            <w:shd w:val="clear" w:color="auto" w:fill="auto"/>
          </w:tcPr>
          <w:p w14:paraId="5BD2A869" w14:textId="188DA569" w:rsidR="0003798C" w:rsidRPr="00C8279B" w:rsidRDefault="008E1930" w:rsidP="001037B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C8279B">
              <w:rPr>
                <w:rFonts w:eastAsia="Times New Roman" w:cs="Times New Roman"/>
                <w:sz w:val="22"/>
                <w:szCs w:val="22"/>
              </w:rPr>
              <w:t>[</w:t>
            </w:r>
            <w:r w:rsidR="00A45479" w:rsidRPr="00C8279B">
              <w:rPr>
                <w:rFonts w:eastAsia="Times New Roman" w:cs="Times New Roman"/>
                <w:sz w:val="22"/>
                <w:szCs w:val="22"/>
              </w:rPr>
              <w:t>$</w:t>
            </w:r>
            <w:r w:rsidR="00FC775C" w:rsidRPr="00C8279B">
              <w:rPr>
                <w:rFonts w:eastAsia="Times New Roman" w:cs="Times New Roman"/>
                <w:sz w:val="22"/>
                <w:szCs w:val="22"/>
              </w:rPr>
              <w:t xml:space="preserve"> #</w:t>
            </w:r>
            <w:r w:rsidR="00451866" w:rsidRPr="00C8279B">
              <w:rPr>
                <w:rFonts w:eastAsia="Times New Roman" w:cs="Times New Roman"/>
                <w:sz w:val="22"/>
                <w:szCs w:val="22"/>
              </w:rPr>
              <w:t>##</w:t>
            </w:r>
            <w:r w:rsidRPr="00C8279B">
              <w:rPr>
                <w:rFonts w:eastAsia="Times New Roman" w:cs="Times New Roman"/>
                <w:sz w:val="22"/>
                <w:szCs w:val="22"/>
              </w:rPr>
              <w:t xml:space="preserve">] </w:t>
            </w:r>
            <w:r w:rsidR="00B61D78" w:rsidRPr="00C8279B">
              <w:rPr>
                <w:rFonts w:eastAsia="Times New Roman" w:cs="Times New Roman"/>
                <w:sz w:val="22"/>
                <w:szCs w:val="22"/>
              </w:rPr>
              <w:t>(the “</w:t>
            </w:r>
            <w:r w:rsidR="007B5BF5" w:rsidRPr="00C8279B">
              <w:rPr>
                <w:rFonts w:eastAsia="Times New Roman" w:cs="Times New Roman"/>
                <w:sz w:val="22"/>
                <w:szCs w:val="22"/>
                <w:u w:val="single"/>
              </w:rPr>
              <w:t>Loan Amount</w:t>
            </w:r>
            <w:r w:rsidR="00B61D78" w:rsidRPr="00C8279B">
              <w:rPr>
                <w:rFonts w:eastAsia="Times New Roman" w:cs="Times New Roman"/>
                <w:sz w:val="22"/>
                <w:szCs w:val="22"/>
              </w:rPr>
              <w:t>”)</w:t>
            </w:r>
            <w:r w:rsidR="00A45479" w:rsidRPr="00C8279B">
              <w:rPr>
                <w:rFonts w:eastAsia="Times New Roman" w:cs="Times New Roman"/>
                <w:sz w:val="22"/>
                <w:szCs w:val="22"/>
              </w:rPr>
              <w:t>,</w:t>
            </w:r>
            <w:r w:rsidR="0003798C" w:rsidRPr="00C8279B">
              <w:rPr>
                <w:rFonts w:eastAsia="Times New Roman" w:cs="Times New Roman"/>
                <w:sz w:val="22"/>
                <w:szCs w:val="22"/>
              </w:rPr>
              <w:t xml:space="preserve"> </w:t>
            </w:r>
            <w:r w:rsidR="00886B56" w:rsidRPr="00C8279B">
              <w:rPr>
                <w:rFonts w:eastAsia="Times New Roman" w:cs="Times New Roman"/>
                <w:sz w:val="22"/>
                <w:szCs w:val="22"/>
              </w:rPr>
              <w:t xml:space="preserve">to be disbursed upon execution of the </w:t>
            </w:r>
            <w:r w:rsidR="002C182F" w:rsidRPr="00C8279B">
              <w:rPr>
                <w:rFonts w:eastAsia="Times New Roman" w:cs="Times New Roman"/>
                <w:sz w:val="22"/>
                <w:szCs w:val="22"/>
              </w:rPr>
              <w:t xml:space="preserve">RBL </w:t>
            </w:r>
            <w:r w:rsidR="00886B56" w:rsidRPr="00C8279B">
              <w:rPr>
                <w:rFonts w:eastAsia="Times New Roman" w:cs="Times New Roman"/>
                <w:sz w:val="22"/>
                <w:szCs w:val="22"/>
              </w:rPr>
              <w:t>Documents on the Closing Date</w:t>
            </w:r>
            <w:r w:rsidR="00D90BE6" w:rsidRPr="00C8279B">
              <w:rPr>
                <w:rFonts w:eastAsia="Times New Roman" w:cs="Times New Roman"/>
                <w:sz w:val="22"/>
                <w:szCs w:val="22"/>
              </w:rPr>
              <w:t>,</w:t>
            </w:r>
            <w:r w:rsidR="00903757" w:rsidRPr="00C8279B">
              <w:rPr>
                <w:rFonts w:eastAsia="Times New Roman" w:cs="Times New Roman"/>
                <w:sz w:val="22"/>
                <w:szCs w:val="22"/>
              </w:rPr>
              <w:t xml:space="preserve"> net of costs and expenses, and</w:t>
            </w:r>
            <w:r w:rsidR="00F26DC1" w:rsidRPr="00C8279B">
              <w:rPr>
                <w:rFonts w:eastAsia="Times New Roman" w:cs="Times New Roman"/>
                <w:sz w:val="22"/>
                <w:szCs w:val="22"/>
              </w:rPr>
              <w:t xml:space="preserve"> </w:t>
            </w:r>
            <w:r w:rsidRPr="00C8279B">
              <w:rPr>
                <w:rFonts w:eastAsia="Times New Roman" w:cs="Times New Roman"/>
                <w:sz w:val="22"/>
                <w:szCs w:val="22"/>
              </w:rPr>
              <w:t xml:space="preserve">subject to </w:t>
            </w:r>
            <w:r w:rsidR="00476798" w:rsidRPr="00C8279B">
              <w:rPr>
                <w:rFonts w:eastAsia="Times New Roman" w:cs="Times New Roman"/>
                <w:sz w:val="22"/>
                <w:szCs w:val="22"/>
              </w:rPr>
              <w:t xml:space="preserve">Lender’s </w:t>
            </w:r>
            <w:r w:rsidRPr="00C8279B">
              <w:rPr>
                <w:rFonts w:eastAsia="Times New Roman" w:cs="Times New Roman"/>
                <w:sz w:val="22"/>
                <w:szCs w:val="22"/>
              </w:rPr>
              <w:t>diligence review</w:t>
            </w:r>
          </w:p>
        </w:tc>
      </w:tr>
      <w:tr w:rsidR="00B61D78" w:rsidRPr="00C8279B" w14:paraId="20E0BA42" w14:textId="77777777" w:rsidTr="004846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56E18995" w14:textId="038796F0" w:rsidR="00B61D78" w:rsidRPr="00C8279B" w:rsidRDefault="00B61D78" w:rsidP="001037B7">
            <w:pPr>
              <w:spacing w:before="120" w:after="120"/>
              <w:rPr>
                <w:rFonts w:eastAsia="Times New Roman" w:cs="Times New Roman"/>
                <w:sz w:val="22"/>
                <w:szCs w:val="22"/>
              </w:rPr>
            </w:pPr>
            <w:r w:rsidRPr="00C8279B">
              <w:rPr>
                <w:rFonts w:eastAsia="Times New Roman" w:cs="Times New Roman"/>
                <w:sz w:val="22"/>
                <w:szCs w:val="22"/>
              </w:rPr>
              <w:t>Currency</w:t>
            </w:r>
          </w:p>
        </w:tc>
        <w:tc>
          <w:tcPr>
            <w:tcW w:w="8280" w:type="dxa"/>
            <w:shd w:val="clear" w:color="auto" w:fill="auto"/>
          </w:tcPr>
          <w:p w14:paraId="2567F9A3" w14:textId="03B63568" w:rsidR="00B61D78" w:rsidRPr="00C8279B" w:rsidRDefault="00B61D78" w:rsidP="001037B7">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rPr>
            </w:pPr>
            <w:r w:rsidRPr="00C8279B">
              <w:rPr>
                <w:rFonts w:eastAsia="Times New Roman" w:cs="Times New Roman"/>
                <w:sz w:val="22"/>
                <w:szCs w:val="22"/>
              </w:rPr>
              <w:t>United States Dollars</w:t>
            </w:r>
          </w:p>
        </w:tc>
      </w:tr>
      <w:tr w:rsidR="006540C0" w:rsidRPr="00C8279B" w14:paraId="08938CE9" w14:textId="77777777" w:rsidTr="0048466A">
        <w:trPr>
          <w:trHeight w:val="71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4D5CE3AE" w14:textId="77777777" w:rsidR="00AF5F79" w:rsidRPr="00C8279B" w:rsidRDefault="00AF5F79" w:rsidP="001037B7">
            <w:pPr>
              <w:spacing w:before="120" w:after="120"/>
              <w:rPr>
                <w:rFonts w:eastAsia="Times New Roman" w:cs="Times New Roman"/>
                <w:sz w:val="22"/>
                <w:szCs w:val="22"/>
              </w:rPr>
            </w:pPr>
            <w:r w:rsidRPr="00C8279B">
              <w:rPr>
                <w:rFonts w:eastAsia="Times New Roman" w:cs="Times New Roman"/>
                <w:sz w:val="22"/>
                <w:szCs w:val="22"/>
              </w:rPr>
              <w:t>Use of Proceeds</w:t>
            </w:r>
          </w:p>
        </w:tc>
        <w:tc>
          <w:tcPr>
            <w:tcW w:w="8280" w:type="dxa"/>
            <w:shd w:val="clear" w:color="auto" w:fill="auto"/>
          </w:tcPr>
          <w:p w14:paraId="03986627" w14:textId="0D0F5CA7" w:rsidR="00AF5F79" w:rsidRPr="00C8279B" w:rsidRDefault="00AF5F79" w:rsidP="001037B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C8279B">
              <w:rPr>
                <w:rFonts w:eastAsia="Times New Roman" w:cs="Times New Roman"/>
                <w:sz w:val="22"/>
                <w:szCs w:val="22"/>
              </w:rPr>
              <w:t>The Company shall use the Loan Amount to [</w:t>
            </w:r>
            <w:r w:rsidR="00714665" w:rsidRPr="00C8279B">
              <w:rPr>
                <w:rFonts w:eastAsia="Times New Roman" w:cs="Times New Roman"/>
                <w:sz w:val="22"/>
                <w:szCs w:val="22"/>
              </w:rPr>
              <w:t>Describe permitted Use of Proceeds</w:t>
            </w:r>
            <w:r w:rsidRPr="00C8279B">
              <w:rPr>
                <w:rFonts w:eastAsia="Times New Roman" w:cs="Times New Roman"/>
                <w:sz w:val="22"/>
                <w:szCs w:val="22"/>
              </w:rPr>
              <w:t>].</w:t>
            </w:r>
          </w:p>
        </w:tc>
      </w:tr>
      <w:tr w:rsidR="00607394" w:rsidRPr="00C8279B" w14:paraId="2DADADC2" w14:textId="77777777" w:rsidTr="0048466A">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2BFDBC60" w14:textId="77777777" w:rsidR="00AB2A9F" w:rsidRPr="00C8279B" w:rsidRDefault="00AB2A9F" w:rsidP="001037B7">
            <w:pPr>
              <w:spacing w:before="120" w:after="120"/>
              <w:rPr>
                <w:rFonts w:eastAsia="Times New Roman" w:cs="Times New Roman"/>
                <w:sz w:val="22"/>
                <w:szCs w:val="22"/>
              </w:rPr>
            </w:pPr>
            <w:r w:rsidRPr="00C8279B">
              <w:rPr>
                <w:rFonts w:eastAsia="Times New Roman" w:cs="Times New Roman"/>
                <w:sz w:val="22"/>
                <w:szCs w:val="22"/>
              </w:rPr>
              <w:t>RBL Obligation</w:t>
            </w:r>
          </w:p>
        </w:tc>
        <w:tc>
          <w:tcPr>
            <w:tcW w:w="8280" w:type="dxa"/>
            <w:shd w:val="clear" w:color="auto" w:fill="auto"/>
          </w:tcPr>
          <w:p w14:paraId="207B1A53" w14:textId="291EC27F" w:rsidR="00AB2A9F" w:rsidRPr="00C8279B" w:rsidRDefault="00AB2A9F" w:rsidP="001037B7">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rPr>
            </w:pPr>
            <w:r w:rsidRPr="00C8279B">
              <w:rPr>
                <w:rFonts w:eastAsia="Times New Roman" w:cs="Times New Roman"/>
                <w:sz w:val="22"/>
                <w:szCs w:val="22"/>
              </w:rPr>
              <w:t>At the Maturity Date the Company shall have repaid the Lender a total of [Multiple][(#x)] the Loan Amount (the “</w:t>
            </w:r>
            <w:r w:rsidRPr="00C8279B">
              <w:rPr>
                <w:rFonts w:eastAsia="Times New Roman" w:cs="Times New Roman"/>
                <w:sz w:val="22"/>
                <w:szCs w:val="22"/>
                <w:u w:val="single"/>
              </w:rPr>
              <w:t>RBL Obligation</w:t>
            </w:r>
            <w:r w:rsidRPr="00C8279B">
              <w:rPr>
                <w:rFonts w:eastAsia="Times New Roman" w:cs="Times New Roman"/>
                <w:sz w:val="22"/>
                <w:szCs w:val="22"/>
              </w:rPr>
              <w:t>”).</w:t>
            </w:r>
            <w:r w:rsidR="009A7277" w:rsidRPr="00C8279B">
              <w:rPr>
                <w:rStyle w:val="FootnoteReference"/>
                <w:rFonts w:eastAsia="Times New Roman" w:cs="Times New Roman"/>
                <w:sz w:val="22"/>
                <w:szCs w:val="22"/>
              </w:rPr>
              <w:footnoteReference w:id="4"/>
            </w:r>
          </w:p>
        </w:tc>
      </w:tr>
      <w:tr w:rsidR="006540C0" w:rsidRPr="00C8279B" w14:paraId="68C221EA" w14:textId="77777777" w:rsidTr="0048466A">
        <w:trPr>
          <w:trHeight w:val="53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111F8792" w14:textId="77777777" w:rsidR="00987150" w:rsidRPr="00C8279B" w:rsidRDefault="00987150" w:rsidP="001037B7">
            <w:pPr>
              <w:spacing w:before="120" w:after="120"/>
              <w:rPr>
                <w:rFonts w:eastAsia="Times New Roman" w:cs="Times New Roman"/>
                <w:sz w:val="22"/>
                <w:szCs w:val="22"/>
              </w:rPr>
            </w:pPr>
            <w:r w:rsidRPr="00C8279B">
              <w:rPr>
                <w:rFonts w:eastAsia="Times New Roman" w:cs="Times New Roman"/>
                <w:sz w:val="22"/>
                <w:szCs w:val="22"/>
              </w:rPr>
              <w:t>Revenue Rate</w:t>
            </w:r>
          </w:p>
        </w:tc>
        <w:tc>
          <w:tcPr>
            <w:tcW w:w="8280" w:type="dxa"/>
            <w:shd w:val="clear" w:color="auto" w:fill="auto"/>
          </w:tcPr>
          <w:p w14:paraId="61432A7F" w14:textId="0336BBF7" w:rsidR="00987150" w:rsidRPr="00C8279B" w:rsidRDefault="00987150" w:rsidP="001037B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C8279B">
              <w:rPr>
                <w:rFonts w:eastAsia="Times New Roman" w:cs="Times New Roman"/>
                <w:sz w:val="22"/>
                <w:szCs w:val="22"/>
              </w:rPr>
              <w:t xml:space="preserve">[Revenue </w:t>
            </w:r>
            <w:proofErr w:type="gramStart"/>
            <w:r w:rsidRPr="00C8279B">
              <w:rPr>
                <w:rFonts w:eastAsia="Times New Roman" w:cs="Times New Roman"/>
                <w:sz w:val="22"/>
                <w:szCs w:val="22"/>
              </w:rPr>
              <w:t>percentage]%</w:t>
            </w:r>
            <w:proofErr w:type="gramEnd"/>
            <w:r w:rsidRPr="00C8279B">
              <w:rPr>
                <w:rFonts w:eastAsia="Times New Roman" w:cs="Times New Roman"/>
                <w:sz w:val="22"/>
                <w:szCs w:val="22"/>
              </w:rPr>
              <w:t xml:space="preserve"> (the “</w:t>
            </w:r>
            <w:r w:rsidRPr="00C8279B">
              <w:rPr>
                <w:rFonts w:eastAsia="Times New Roman" w:cs="Times New Roman"/>
                <w:sz w:val="22"/>
                <w:szCs w:val="22"/>
                <w:u w:val="single"/>
              </w:rPr>
              <w:t>Revenue Rate</w:t>
            </w:r>
            <w:r w:rsidRPr="00C8279B">
              <w:rPr>
                <w:rFonts w:eastAsia="Times New Roman" w:cs="Times New Roman"/>
                <w:sz w:val="22"/>
                <w:szCs w:val="22"/>
              </w:rPr>
              <w:t>”) of the Company’s Revenue (as defined below) (the “</w:t>
            </w:r>
            <w:r w:rsidRPr="00C8279B">
              <w:rPr>
                <w:rFonts w:eastAsia="Times New Roman" w:cs="Times New Roman"/>
                <w:sz w:val="22"/>
                <w:szCs w:val="22"/>
                <w:u w:val="single"/>
              </w:rPr>
              <w:t>Revenue Payments</w:t>
            </w:r>
            <w:r w:rsidRPr="00C8279B">
              <w:rPr>
                <w:rFonts w:eastAsia="Times New Roman" w:cs="Times New Roman"/>
                <w:sz w:val="22"/>
                <w:szCs w:val="22"/>
              </w:rPr>
              <w:t>”)</w:t>
            </w:r>
          </w:p>
        </w:tc>
      </w:tr>
      <w:tr w:rsidR="00987150" w:rsidRPr="00C8279B" w14:paraId="587FEF9C" w14:textId="77777777" w:rsidTr="0048466A">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6C3BFA79" w14:textId="2B9DDDEE" w:rsidR="00987150" w:rsidRPr="00C8279B" w:rsidRDefault="00987150" w:rsidP="001037B7">
            <w:pPr>
              <w:spacing w:before="120" w:after="120"/>
              <w:rPr>
                <w:rFonts w:eastAsia="Times New Roman" w:cs="Times New Roman"/>
                <w:sz w:val="22"/>
                <w:szCs w:val="22"/>
              </w:rPr>
            </w:pPr>
            <w:r w:rsidRPr="00C8279B">
              <w:rPr>
                <w:rFonts w:eastAsia="Times New Roman" w:cs="Times New Roman"/>
                <w:sz w:val="22"/>
                <w:szCs w:val="22"/>
              </w:rPr>
              <w:t>Fees</w:t>
            </w:r>
          </w:p>
        </w:tc>
        <w:tc>
          <w:tcPr>
            <w:tcW w:w="8280" w:type="dxa"/>
            <w:shd w:val="clear" w:color="auto" w:fill="auto"/>
          </w:tcPr>
          <w:p w14:paraId="5404D583" w14:textId="6AB7D6D2" w:rsidR="00987150" w:rsidRPr="00C8279B" w:rsidRDefault="00987150" w:rsidP="001037B7">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Times New Roman"/>
                <w:i/>
                <w:sz w:val="22"/>
                <w:szCs w:val="22"/>
              </w:rPr>
            </w:pPr>
            <w:r w:rsidRPr="00C8279B">
              <w:rPr>
                <w:rFonts w:eastAsia="Times New Roman" w:cs="Times New Roman"/>
                <w:sz w:val="22"/>
                <w:szCs w:val="22"/>
              </w:rPr>
              <w:t>[</w:t>
            </w:r>
            <w:r w:rsidR="00CB7F39" w:rsidRPr="00C8279B">
              <w:rPr>
                <w:rFonts w:eastAsia="Times New Roman" w:cs="Times New Roman"/>
                <w:sz w:val="22"/>
                <w:szCs w:val="22"/>
              </w:rPr>
              <w:t>Describe any</w:t>
            </w:r>
            <w:r w:rsidRPr="00C8279B">
              <w:rPr>
                <w:rFonts w:eastAsia="Times New Roman" w:cs="Times New Roman"/>
                <w:sz w:val="22"/>
                <w:szCs w:val="22"/>
              </w:rPr>
              <w:t xml:space="preserve"> Fees]</w:t>
            </w:r>
            <w:r w:rsidR="00CB7F39" w:rsidRPr="00C8279B">
              <w:rPr>
                <w:rStyle w:val="FootnoteReference"/>
                <w:rFonts w:eastAsia="Times New Roman" w:cs="Times New Roman"/>
                <w:sz w:val="22"/>
                <w:szCs w:val="22"/>
              </w:rPr>
              <w:footnoteReference w:id="5"/>
            </w:r>
          </w:p>
        </w:tc>
      </w:tr>
      <w:tr w:rsidR="00987150" w:rsidRPr="00C8279B" w14:paraId="17DCADA9" w14:textId="77777777" w:rsidTr="0048466A">
        <w:trPr>
          <w:trHeight w:val="863"/>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3F181887" w14:textId="7AAB7C98" w:rsidR="00987150" w:rsidRPr="00C8279B" w:rsidRDefault="0000620E" w:rsidP="001037B7">
            <w:pPr>
              <w:spacing w:before="120" w:after="120"/>
              <w:rPr>
                <w:rFonts w:eastAsia="Times New Roman" w:cs="Times New Roman"/>
                <w:sz w:val="22"/>
                <w:szCs w:val="22"/>
              </w:rPr>
            </w:pPr>
            <w:r w:rsidRPr="00C8279B">
              <w:rPr>
                <w:rFonts w:eastAsia="Times New Roman" w:cs="Times New Roman"/>
                <w:sz w:val="22"/>
                <w:szCs w:val="22"/>
              </w:rPr>
              <w:t>Costs and</w:t>
            </w:r>
            <w:r w:rsidR="00987150" w:rsidRPr="00C8279B">
              <w:rPr>
                <w:rFonts w:eastAsia="Times New Roman" w:cs="Times New Roman"/>
                <w:sz w:val="22"/>
                <w:szCs w:val="22"/>
              </w:rPr>
              <w:t xml:space="preserve"> Expense</w:t>
            </w:r>
            <w:r w:rsidR="001037B7">
              <w:rPr>
                <w:rFonts w:eastAsia="Times New Roman" w:cs="Times New Roman"/>
                <w:sz w:val="22"/>
                <w:szCs w:val="22"/>
              </w:rPr>
              <w:t>s</w:t>
            </w:r>
          </w:p>
        </w:tc>
        <w:tc>
          <w:tcPr>
            <w:tcW w:w="8280" w:type="dxa"/>
            <w:shd w:val="clear" w:color="auto" w:fill="auto"/>
          </w:tcPr>
          <w:p w14:paraId="1A71B941" w14:textId="1C184F17" w:rsidR="00987150" w:rsidRPr="00C8279B" w:rsidRDefault="00293DA2" w:rsidP="001037B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C8279B">
              <w:rPr>
                <w:rFonts w:eastAsia="Times New Roman" w:cs="Times New Roman"/>
                <w:sz w:val="22"/>
                <w:szCs w:val="22"/>
              </w:rPr>
              <w:t>[The Company shall pay all costs and expenses (including legal expenses) incurred by Lender in connection with</w:t>
            </w:r>
            <w:r w:rsidR="001C763C" w:rsidRPr="00C8279B">
              <w:rPr>
                <w:rFonts w:eastAsia="Times New Roman" w:cs="Times New Roman"/>
                <w:sz w:val="22"/>
                <w:szCs w:val="22"/>
              </w:rPr>
              <w:t xml:space="preserve"> </w:t>
            </w:r>
            <w:r w:rsidR="00FC6080" w:rsidRPr="00C8279B">
              <w:rPr>
                <w:rFonts w:eastAsia="Times New Roman" w:cs="Times New Roman"/>
                <w:sz w:val="22"/>
                <w:szCs w:val="22"/>
              </w:rPr>
              <w:t xml:space="preserve">the preparation, negotiation and execution of </w:t>
            </w:r>
            <w:r w:rsidR="001C763C" w:rsidRPr="00C8279B">
              <w:rPr>
                <w:rFonts w:eastAsia="Times New Roman" w:cs="Times New Roman"/>
                <w:sz w:val="22"/>
                <w:szCs w:val="22"/>
              </w:rPr>
              <w:t xml:space="preserve">this Term Sheet and </w:t>
            </w:r>
            <w:r w:rsidR="00B63300" w:rsidRPr="00C8279B">
              <w:rPr>
                <w:rFonts w:eastAsia="Times New Roman" w:cs="Times New Roman"/>
                <w:sz w:val="22"/>
                <w:szCs w:val="22"/>
              </w:rPr>
              <w:t xml:space="preserve">the </w:t>
            </w:r>
            <w:r w:rsidR="001C763C" w:rsidRPr="00C8279B">
              <w:rPr>
                <w:rFonts w:eastAsia="Times New Roman" w:cs="Times New Roman"/>
                <w:sz w:val="22"/>
                <w:szCs w:val="22"/>
              </w:rPr>
              <w:t>definitive</w:t>
            </w:r>
            <w:r w:rsidRPr="00C8279B">
              <w:rPr>
                <w:rFonts w:eastAsia="Times New Roman" w:cs="Times New Roman"/>
                <w:sz w:val="22"/>
                <w:szCs w:val="22"/>
              </w:rPr>
              <w:t xml:space="preserve"> RBL Documents</w:t>
            </w:r>
            <w:proofErr w:type="gramStart"/>
            <w:r w:rsidRPr="00C8279B">
              <w:rPr>
                <w:rFonts w:eastAsia="Times New Roman" w:cs="Times New Roman"/>
                <w:sz w:val="22"/>
                <w:szCs w:val="22"/>
              </w:rPr>
              <w:t>.][</w:t>
            </w:r>
            <w:proofErr w:type="gramEnd"/>
            <w:r w:rsidR="00987150" w:rsidRPr="00C8279B">
              <w:rPr>
                <w:rFonts w:eastAsia="Times New Roman" w:cs="Times New Roman"/>
                <w:sz w:val="22"/>
                <w:szCs w:val="22"/>
              </w:rPr>
              <w:t xml:space="preserve">Each party shall bear their respective legal fees and other expenses incurred in connection with the preparation, negotiation and execution of the </w:t>
            </w:r>
            <w:r w:rsidRPr="00C8279B">
              <w:rPr>
                <w:rFonts w:eastAsia="Times New Roman" w:cs="Times New Roman"/>
                <w:sz w:val="22"/>
                <w:szCs w:val="22"/>
              </w:rPr>
              <w:t>RBL</w:t>
            </w:r>
            <w:r w:rsidR="00987150" w:rsidRPr="00C8279B">
              <w:rPr>
                <w:rFonts w:eastAsia="Times New Roman" w:cs="Times New Roman"/>
                <w:sz w:val="22"/>
                <w:szCs w:val="22"/>
              </w:rPr>
              <w:t xml:space="preserve"> Documents.</w:t>
            </w:r>
            <w:r w:rsidRPr="00C8279B">
              <w:rPr>
                <w:rFonts w:eastAsia="Times New Roman" w:cs="Times New Roman"/>
                <w:sz w:val="22"/>
                <w:szCs w:val="22"/>
              </w:rPr>
              <w:t>]</w:t>
            </w:r>
          </w:p>
        </w:tc>
      </w:tr>
      <w:tr w:rsidR="00B61D78" w:rsidRPr="00C8279B" w14:paraId="30E9E230" w14:textId="77777777" w:rsidTr="0048466A">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7AA1C03D" w14:textId="5BBC746D" w:rsidR="00B61D78" w:rsidRPr="00C8279B" w:rsidRDefault="00B61D78" w:rsidP="001037B7">
            <w:pPr>
              <w:spacing w:before="120" w:after="120"/>
              <w:rPr>
                <w:rFonts w:eastAsia="Times New Roman" w:cs="Times New Roman"/>
                <w:sz w:val="22"/>
                <w:szCs w:val="22"/>
              </w:rPr>
            </w:pPr>
            <w:r w:rsidRPr="00C8279B">
              <w:rPr>
                <w:rFonts w:eastAsia="Times New Roman" w:cs="Times New Roman"/>
                <w:sz w:val="22"/>
                <w:szCs w:val="22"/>
              </w:rPr>
              <w:t>Maturity</w:t>
            </w:r>
            <w:r w:rsidR="003E3572" w:rsidRPr="00C8279B">
              <w:rPr>
                <w:rFonts w:eastAsia="Times New Roman" w:cs="Times New Roman"/>
                <w:sz w:val="22"/>
                <w:szCs w:val="22"/>
              </w:rPr>
              <w:t xml:space="preserve"> Date</w:t>
            </w:r>
          </w:p>
        </w:tc>
        <w:tc>
          <w:tcPr>
            <w:tcW w:w="8280" w:type="dxa"/>
            <w:shd w:val="clear" w:color="auto" w:fill="auto"/>
          </w:tcPr>
          <w:p w14:paraId="2A58EF87" w14:textId="6B9EEDBC" w:rsidR="002D50AF" w:rsidRPr="00C8279B" w:rsidRDefault="00AA50FC" w:rsidP="001037B7">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rPr>
            </w:pPr>
            <w:r w:rsidRPr="00C8279B">
              <w:rPr>
                <w:rFonts w:eastAsia="Times New Roman" w:cs="Times New Roman"/>
                <w:sz w:val="22"/>
                <w:szCs w:val="22"/>
              </w:rPr>
              <w:t xml:space="preserve">All </w:t>
            </w:r>
            <w:r w:rsidR="00AF4A3D" w:rsidRPr="00C8279B">
              <w:rPr>
                <w:rFonts w:eastAsia="Times New Roman" w:cs="Times New Roman"/>
                <w:sz w:val="22"/>
                <w:szCs w:val="22"/>
              </w:rPr>
              <w:t xml:space="preserve">Obligations </w:t>
            </w:r>
            <w:r w:rsidRPr="00C8279B">
              <w:rPr>
                <w:rFonts w:eastAsia="Times New Roman" w:cs="Times New Roman"/>
                <w:sz w:val="22"/>
                <w:szCs w:val="22"/>
              </w:rPr>
              <w:t>of the Company to the Lender (including the RBL Obligation) will mature and become due and payable in full on the earlier of: (</w:t>
            </w:r>
            <w:proofErr w:type="spellStart"/>
            <w:r w:rsidRPr="00C8279B">
              <w:rPr>
                <w:rFonts w:eastAsia="Times New Roman" w:cs="Times New Roman"/>
                <w:sz w:val="22"/>
                <w:szCs w:val="22"/>
              </w:rPr>
              <w:t>i</w:t>
            </w:r>
            <w:proofErr w:type="spellEnd"/>
            <w:r w:rsidRPr="00C8279B">
              <w:rPr>
                <w:rFonts w:eastAsia="Times New Roman" w:cs="Times New Roman"/>
                <w:sz w:val="22"/>
                <w:szCs w:val="22"/>
              </w:rPr>
              <w:t xml:space="preserve">) the Monthly Payment date where the Company </w:t>
            </w:r>
            <w:r w:rsidR="00F20B72" w:rsidRPr="00C8279B">
              <w:rPr>
                <w:rFonts w:eastAsia="Times New Roman" w:cs="Times New Roman"/>
                <w:sz w:val="22"/>
                <w:szCs w:val="22"/>
              </w:rPr>
              <w:t>fulfils</w:t>
            </w:r>
            <w:r w:rsidRPr="00C8279B">
              <w:rPr>
                <w:rFonts w:eastAsia="Times New Roman" w:cs="Times New Roman"/>
                <w:sz w:val="22"/>
                <w:szCs w:val="22"/>
              </w:rPr>
              <w:t xml:space="preserve"> the </w:t>
            </w:r>
            <w:r w:rsidR="00F20B72" w:rsidRPr="00C8279B">
              <w:rPr>
                <w:rFonts w:eastAsia="Times New Roman" w:cs="Times New Roman"/>
                <w:sz w:val="22"/>
                <w:szCs w:val="22"/>
              </w:rPr>
              <w:t>RBL Obligation</w:t>
            </w:r>
            <w:r w:rsidRPr="00C8279B">
              <w:rPr>
                <w:rFonts w:eastAsia="Times New Roman" w:cs="Times New Roman"/>
                <w:sz w:val="22"/>
                <w:szCs w:val="22"/>
              </w:rPr>
              <w:t>; (ii) </w:t>
            </w:r>
            <w:r w:rsidR="00F20B72" w:rsidRPr="00C8279B">
              <w:rPr>
                <w:rFonts w:eastAsia="Times New Roman" w:cs="Times New Roman"/>
                <w:sz w:val="22"/>
                <w:szCs w:val="22"/>
              </w:rPr>
              <w:t>[TERM</w:t>
            </w:r>
            <w:r w:rsidRPr="00C8279B">
              <w:rPr>
                <w:rFonts w:eastAsia="Times New Roman" w:cs="Times New Roman"/>
                <w:sz w:val="22"/>
                <w:szCs w:val="22"/>
              </w:rPr>
              <w:t xml:space="preserve"> (</w:t>
            </w:r>
            <w:r w:rsidR="00F20B72" w:rsidRPr="00C8279B">
              <w:rPr>
                <w:rFonts w:eastAsia="Times New Roman" w:cs="Times New Roman"/>
                <w:sz w:val="22"/>
                <w:szCs w:val="22"/>
              </w:rPr>
              <w:t>#</w:t>
            </w:r>
            <w:r w:rsidRPr="00C8279B">
              <w:rPr>
                <w:rFonts w:eastAsia="Times New Roman" w:cs="Times New Roman"/>
                <w:sz w:val="22"/>
                <w:szCs w:val="22"/>
              </w:rPr>
              <w:t>)</w:t>
            </w:r>
            <w:r w:rsidR="00F20B72" w:rsidRPr="00C8279B">
              <w:rPr>
                <w:rFonts w:eastAsia="Times New Roman" w:cs="Times New Roman"/>
                <w:sz w:val="22"/>
                <w:szCs w:val="22"/>
              </w:rPr>
              <w:t>]</w:t>
            </w:r>
            <w:r w:rsidRPr="00C8279B">
              <w:rPr>
                <w:rFonts w:eastAsia="Times New Roman" w:cs="Times New Roman"/>
                <w:sz w:val="22"/>
                <w:szCs w:val="22"/>
              </w:rPr>
              <w:t xml:space="preserve"> months after the </w:t>
            </w:r>
            <w:r w:rsidR="00F20B72" w:rsidRPr="00C8279B">
              <w:rPr>
                <w:rFonts w:eastAsia="Times New Roman" w:cs="Times New Roman"/>
                <w:sz w:val="22"/>
                <w:szCs w:val="22"/>
              </w:rPr>
              <w:t>Closing Date</w:t>
            </w:r>
            <w:r w:rsidRPr="00C8279B">
              <w:rPr>
                <w:rFonts w:eastAsia="Times New Roman" w:cs="Times New Roman"/>
                <w:sz w:val="22"/>
                <w:szCs w:val="22"/>
              </w:rPr>
              <w:t xml:space="preserve">; </w:t>
            </w:r>
            <w:r w:rsidRPr="00C8279B">
              <w:rPr>
                <w:rFonts w:eastAsia="Times New Roman" w:cs="Times New Roman"/>
                <w:sz w:val="22"/>
                <w:szCs w:val="22"/>
              </w:rPr>
              <w:lastRenderedPageBreak/>
              <w:t xml:space="preserve">(iii) the Company’s insolvency; or (iv) at the option of the Lender, the declaration of an </w:t>
            </w:r>
            <w:r w:rsidR="007D079A" w:rsidRPr="00C8279B">
              <w:rPr>
                <w:rFonts w:eastAsia="Times New Roman" w:cs="Times New Roman"/>
                <w:sz w:val="22"/>
                <w:szCs w:val="22"/>
              </w:rPr>
              <w:t>E</w:t>
            </w:r>
            <w:r w:rsidRPr="00C8279B">
              <w:rPr>
                <w:rFonts w:eastAsia="Times New Roman" w:cs="Times New Roman"/>
                <w:sz w:val="22"/>
                <w:szCs w:val="22"/>
              </w:rPr>
              <w:t xml:space="preserve">vent of </w:t>
            </w:r>
            <w:r w:rsidR="007D079A" w:rsidRPr="00C8279B">
              <w:rPr>
                <w:rFonts w:eastAsia="Times New Roman" w:cs="Times New Roman"/>
                <w:sz w:val="22"/>
                <w:szCs w:val="22"/>
              </w:rPr>
              <w:t>D</w:t>
            </w:r>
            <w:r w:rsidRPr="00C8279B">
              <w:rPr>
                <w:rFonts w:eastAsia="Times New Roman" w:cs="Times New Roman"/>
                <w:sz w:val="22"/>
                <w:szCs w:val="22"/>
              </w:rPr>
              <w:t>efault.</w:t>
            </w:r>
            <w:r w:rsidR="00A20E8A" w:rsidRPr="00C8279B">
              <w:rPr>
                <w:rStyle w:val="FootnoteReference"/>
                <w:rFonts w:eastAsia="Times New Roman" w:cs="Times New Roman"/>
                <w:sz w:val="22"/>
                <w:szCs w:val="22"/>
              </w:rPr>
              <w:footnoteReference w:id="6"/>
            </w:r>
          </w:p>
        </w:tc>
      </w:tr>
      <w:tr w:rsidR="000F1127" w:rsidRPr="00C8279B" w14:paraId="1A7DDB39" w14:textId="77777777" w:rsidTr="0048466A">
        <w:trPr>
          <w:trHeight w:val="863"/>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0FE7ABC8" w14:textId="16824BED" w:rsidR="000F1127" w:rsidRPr="00C8279B" w:rsidRDefault="000F1127" w:rsidP="001037B7">
            <w:pPr>
              <w:spacing w:before="120" w:after="120"/>
              <w:rPr>
                <w:rFonts w:eastAsia="Times New Roman" w:cs="Times New Roman"/>
                <w:sz w:val="22"/>
                <w:szCs w:val="22"/>
              </w:rPr>
            </w:pPr>
            <w:r w:rsidRPr="00C8279B">
              <w:rPr>
                <w:rFonts w:eastAsia="Times New Roman" w:cs="Times New Roman"/>
                <w:sz w:val="22"/>
                <w:szCs w:val="22"/>
              </w:rPr>
              <w:lastRenderedPageBreak/>
              <w:t>Optional Prepayment</w:t>
            </w:r>
            <w:r w:rsidR="00781F84" w:rsidRPr="00C8279B">
              <w:rPr>
                <w:rStyle w:val="FootnoteReference"/>
                <w:rFonts w:eastAsia="Times New Roman" w:cs="Times New Roman"/>
                <w:sz w:val="22"/>
                <w:szCs w:val="22"/>
              </w:rPr>
              <w:footnoteReference w:id="7"/>
            </w:r>
          </w:p>
        </w:tc>
        <w:tc>
          <w:tcPr>
            <w:tcW w:w="8280" w:type="dxa"/>
            <w:shd w:val="clear" w:color="auto" w:fill="auto"/>
          </w:tcPr>
          <w:p w14:paraId="63ED1CFC" w14:textId="127A5AAC" w:rsidR="000F1127" w:rsidRPr="00C8279B" w:rsidRDefault="000F1127" w:rsidP="001037B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C8279B">
              <w:rPr>
                <w:rFonts w:eastAsia="Times New Roman" w:cs="Times New Roman"/>
                <w:sz w:val="22"/>
                <w:szCs w:val="22"/>
              </w:rPr>
              <w:t xml:space="preserve">Company may prepay any portion of the </w:t>
            </w:r>
            <w:r w:rsidR="007B5BF5" w:rsidRPr="00C8279B">
              <w:rPr>
                <w:rFonts w:eastAsia="Times New Roman" w:cs="Times New Roman"/>
                <w:sz w:val="22"/>
                <w:szCs w:val="22"/>
              </w:rPr>
              <w:t>RBL</w:t>
            </w:r>
            <w:r w:rsidRPr="00C8279B">
              <w:rPr>
                <w:rFonts w:eastAsia="Times New Roman" w:cs="Times New Roman"/>
                <w:sz w:val="22"/>
                <w:szCs w:val="22"/>
              </w:rPr>
              <w:t xml:space="preserve"> Obligation at any time</w:t>
            </w:r>
            <w:r w:rsidR="00C10324" w:rsidRPr="00C8279B">
              <w:rPr>
                <w:rFonts w:eastAsia="Times New Roman" w:cs="Times New Roman"/>
                <w:sz w:val="22"/>
                <w:szCs w:val="22"/>
              </w:rPr>
              <w:t xml:space="preserve">. </w:t>
            </w:r>
          </w:p>
        </w:tc>
      </w:tr>
      <w:tr w:rsidR="00607394" w:rsidRPr="00C8279B" w14:paraId="1FADE0C0" w14:textId="77777777" w:rsidTr="0048466A">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39130641" w14:textId="7FE5F287" w:rsidR="001E2D6C" w:rsidRPr="00C8279B" w:rsidRDefault="001E2D6C" w:rsidP="001037B7">
            <w:pPr>
              <w:spacing w:before="120" w:after="120"/>
              <w:rPr>
                <w:rFonts w:eastAsia="Times New Roman" w:cs="Times New Roman"/>
                <w:sz w:val="22"/>
                <w:szCs w:val="22"/>
              </w:rPr>
            </w:pPr>
            <w:r w:rsidRPr="00C8279B">
              <w:rPr>
                <w:rFonts w:eastAsia="Times New Roman" w:cs="Times New Roman"/>
                <w:sz w:val="22"/>
                <w:szCs w:val="22"/>
              </w:rPr>
              <w:t xml:space="preserve">Revenue </w:t>
            </w:r>
            <w:r w:rsidR="00DB1175" w:rsidRPr="00C8279B">
              <w:rPr>
                <w:rFonts w:eastAsia="Times New Roman" w:cs="Times New Roman"/>
                <w:sz w:val="22"/>
                <w:szCs w:val="22"/>
              </w:rPr>
              <w:t xml:space="preserve">Reporting and </w:t>
            </w:r>
            <w:r w:rsidRPr="00C8279B">
              <w:rPr>
                <w:rFonts w:eastAsia="Times New Roman" w:cs="Times New Roman"/>
                <w:sz w:val="22"/>
                <w:szCs w:val="22"/>
              </w:rPr>
              <w:t>Payment</w:t>
            </w:r>
            <w:r w:rsidR="00DD2A55" w:rsidRPr="00C8279B">
              <w:rPr>
                <w:rFonts w:eastAsia="Times New Roman" w:cs="Times New Roman"/>
                <w:sz w:val="22"/>
                <w:szCs w:val="22"/>
              </w:rPr>
              <w:t xml:space="preserve"> Period</w:t>
            </w:r>
            <w:r w:rsidR="00DB1175" w:rsidRPr="00C8279B">
              <w:rPr>
                <w:rFonts w:eastAsia="Times New Roman" w:cs="Times New Roman"/>
                <w:sz w:val="22"/>
                <w:szCs w:val="22"/>
              </w:rPr>
              <w:t xml:space="preserve"> </w:t>
            </w:r>
          </w:p>
        </w:tc>
        <w:tc>
          <w:tcPr>
            <w:tcW w:w="8280" w:type="dxa"/>
            <w:shd w:val="clear" w:color="auto" w:fill="auto"/>
          </w:tcPr>
          <w:p w14:paraId="2A59271E" w14:textId="718E3DCA" w:rsidR="00DB1175" w:rsidRPr="00C8279B" w:rsidRDefault="00DB1175" w:rsidP="001037B7">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rPr>
            </w:pPr>
            <w:r w:rsidRPr="00C8279B">
              <w:rPr>
                <w:rFonts w:eastAsia="Times New Roman" w:cs="Times New Roman"/>
                <w:sz w:val="22"/>
                <w:szCs w:val="22"/>
              </w:rPr>
              <w:t>The Company shall provide the Lender [monthly][quarterly] Revenue reports, within [#] days of the end of the preceding [month][quarter]</w:t>
            </w:r>
          </w:p>
          <w:p w14:paraId="29E3B545" w14:textId="308EA3B1" w:rsidR="001E2D6C" w:rsidRPr="00C8279B" w:rsidRDefault="001E2D6C" w:rsidP="001037B7">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rPr>
            </w:pPr>
            <w:r w:rsidRPr="00C8279B">
              <w:rPr>
                <w:rFonts w:eastAsia="Times New Roman" w:cs="Times New Roman"/>
                <w:sz w:val="22"/>
                <w:szCs w:val="22"/>
              </w:rPr>
              <w:t xml:space="preserve">The </w:t>
            </w:r>
            <w:r w:rsidR="00DB71E5" w:rsidRPr="00C8279B">
              <w:rPr>
                <w:rFonts w:eastAsia="Times New Roman" w:cs="Times New Roman"/>
                <w:sz w:val="22"/>
                <w:szCs w:val="22"/>
              </w:rPr>
              <w:t>Company</w:t>
            </w:r>
            <w:r w:rsidRPr="00C8279B">
              <w:rPr>
                <w:rFonts w:eastAsia="Times New Roman" w:cs="Times New Roman"/>
                <w:sz w:val="22"/>
                <w:szCs w:val="22"/>
              </w:rPr>
              <w:t xml:space="preserve"> shall pay </w:t>
            </w:r>
            <w:r w:rsidR="003514A1" w:rsidRPr="00C8279B">
              <w:rPr>
                <w:rFonts w:eastAsia="Times New Roman" w:cs="Times New Roman"/>
                <w:sz w:val="22"/>
                <w:szCs w:val="22"/>
              </w:rPr>
              <w:t xml:space="preserve">Revenue Payments to the </w:t>
            </w:r>
            <w:r w:rsidR="009F0A5E" w:rsidRPr="00C8279B">
              <w:rPr>
                <w:rFonts w:eastAsia="Times New Roman" w:cs="Times New Roman"/>
                <w:sz w:val="22"/>
                <w:szCs w:val="22"/>
              </w:rPr>
              <w:t xml:space="preserve">Lender </w:t>
            </w:r>
            <w:r w:rsidRPr="00C8279B">
              <w:rPr>
                <w:rFonts w:eastAsia="Times New Roman" w:cs="Times New Roman"/>
                <w:sz w:val="22"/>
                <w:szCs w:val="22"/>
              </w:rPr>
              <w:t>on a [</w:t>
            </w:r>
            <w:r w:rsidR="00D56F53" w:rsidRPr="00C8279B">
              <w:rPr>
                <w:rFonts w:eastAsia="Times New Roman" w:cs="Times New Roman"/>
                <w:sz w:val="22"/>
                <w:szCs w:val="22"/>
              </w:rPr>
              <w:t>monthly</w:t>
            </w:r>
            <w:r w:rsidRPr="00C8279B">
              <w:rPr>
                <w:rFonts w:eastAsia="Times New Roman" w:cs="Times New Roman"/>
                <w:sz w:val="22"/>
                <w:szCs w:val="22"/>
              </w:rPr>
              <w:t>]</w:t>
            </w:r>
            <w:r w:rsidR="009F0A5E" w:rsidRPr="00C8279B">
              <w:rPr>
                <w:rFonts w:eastAsia="Times New Roman" w:cs="Times New Roman"/>
                <w:sz w:val="22"/>
                <w:szCs w:val="22"/>
              </w:rPr>
              <w:t>[quarterly]</w:t>
            </w:r>
            <w:r w:rsidRPr="00C8279B">
              <w:rPr>
                <w:rFonts w:eastAsia="Times New Roman" w:cs="Times New Roman"/>
                <w:sz w:val="22"/>
                <w:szCs w:val="22"/>
              </w:rPr>
              <w:t xml:space="preserve"> basis, within [</w:t>
            </w:r>
            <w:r w:rsidR="00DB1175" w:rsidRPr="00C8279B">
              <w:rPr>
                <w:rFonts w:eastAsia="Times New Roman" w:cs="Times New Roman"/>
                <w:sz w:val="22"/>
                <w:szCs w:val="22"/>
              </w:rPr>
              <w:t>#</w:t>
            </w:r>
            <w:r w:rsidRPr="00C8279B">
              <w:rPr>
                <w:rFonts w:eastAsia="Times New Roman" w:cs="Times New Roman"/>
                <w:sz w:val="22"/>
                <w:szCs w:val="22"/>
              </w:rPr>
              <w:t>] days of the end of the</w:t>
            </w:r>
            <w:r w:rsidR="00DB1175" w:rsidRPr="00C8279B">
              <w:rPr>
                <w:rFonts w:eastAsia="Times New Roman" w:cs="Times New Roman"/>
                <w:sz w:val="22"/>
                <w:szCs w:val="22"/>
              </w:rPr>
              <w:t xml:space="preserve"> preceding</w:t>
            </w:r>
            <w:r w:rsidRPr="00C8279B">
              <w:rPr>
                <w:rFonts w:eastAsia="Times New Roman" w:cs="Times New Roman"/>
                <w:sz w:val="22"/>
                <w:szCs w:val="22"/>
              </w:rPr>
              <w:t xml:space="preserve"> [</w:t>
            </w:r>
            <w:r w:rsidR="00D56F53" w:rsidRPr="00C8279B">
              <w:rPr>
                <w:rFonts w:eastAsia="Times New Roman" w:cs="Times New Roman"/>
                <w:sz w:val="22"/>
                <w:szCs w:val="22"/>
              </w:rPr>
              <w:t>month</w:t>
            </w:r>
            <w:r w:rsidRPr="00C8279B">
              <w:rPr>
                <w:rFonts w:eastAsia="Times New Roman" w:cs="Times New Roman"/>
                <w:sz w:val="22"/>
                <w:szCs w:val="22"/>
              </w:rPr>
              <w:t>]</w:t>
            </w:r>
            <w:r w:rsidR="003514A1" w:rsidRPr="00C8279B">
              <w:rPr>
                <w:rFonts w:eastAsia="Times New Roman" w:cs="Times New Roman"/>
                <w:sz w:val="22"/>
                <w:szCs w:val="22"/>
              </w:rPr>
              <w:t>[quarter]</w:t>
            </w:r>
            <w:r w:rsidRPr="00C8279B">
              <w:rPr>
                <w:rStyle w:val="FootnoteReference"/>
                <w:rFonts w:eastAsia="Times New Roman" w:cs="Times New Roman"/>
                <w:sz w:val="22"/>
                <w:szCs w:val="22"/>
              </w:rPr>
              <w:footnoteReference w:id="8"/>
            </w:r>
            <w:r w:rsidR="00AB2A9F" w:rsidRPr="00C8279B">
              <w:rPr>
                <w:rFonts w:eastAsia="Times New Roman" w:cs="Times New Roman"/>
                <w:sz w:val="22"/>
                <w:szCs w:val="22"/>
              </w:rPr>
              <w:t>[</w:t>
            </w:r>
            <w:r w:rsidR="00C82B0F">
              <w:rPr>
                <w:rFonts w:eastAsia="Times New Roman" w:cs="Times New Roman"/>
                <w:sz w:val="22"/>
                <w:szCs w:val="22"/>
              </w:rPr>
              <w:t xml:space="preserve">, </w:t>
            </w:r>
            <w:r w:rsidR="00AB2A9F" w:rsidRPr="00C8279B">
              <w:rPr>
                <w:rFonts w:eastAsia="Times New Roman" w:cs="Times New Roman"/>
                <w:sz w:val="22"/>
                <w:szCs w:val="22"/>
              </w:rPr>
              <w:t>beginning on [DATE</w:t>
            </w:r>
            <w:proofErr w:type="gramStart"/>
            <w:r w:rsidR="00AB2A9F" w:rsidRPr="00C8279B">
              <w:rPr>
                <w:rFonts w:eastAsia="Times New Roman" w:cs="Times New Roman"/>
                <w:sz w:val="22"/>
                <w:szCs w:val="22"/>
              </w:rPr>
              <w:t>]</w:t>
            </w:r>
            <w:r w:rsidR="00AC654F" w:rsidRPr="00C8279B">
              <w:rPr>
                <w:rFonts w:eastAsia="Times New Roman" w:cs="Times New Roman"/>
                <w:sz w:val="22"/>
                <w:szCs w:val="22"/>
              </w:rPr>
              <w:t>]</w:t>
            </w:r>
            <w:r w:rsidR="00ED3B4B" w:rsidRPr="00C8279B">
              <w:rPr>
                <w:rFonts w:eastAsia="Times New Roman" w:cs="Times New Roman"/>
                <w:sz w:val="22"/>
                <w:szCs w:val="22"/>
              </w:rPr>
              <w:t>[</w:t>
            </w:r>
            <w:proofErr w:type="gramEnd"/>
            <w:r w:rsidR="00AC654F" w:rsidRPr="00C8279B">
              <w:rPr>
                <w:rFonts w:eastAsia="Times New Roman" w:cs="Times New Roman"/>
                <w:sz w:val="22"/>
                <w:szCs w:val="22"/>
              </w:rPr>
              <w:t>the date on which [</w:t>
            </w:r>
            <w:r w:rsidR="00C82B0F">
              <w:rPr>
                <w:rFonts w:eastAsia="Times New Roman" w:cs="Times New Roman"/>
                <w:sz w:val="22"/>
                <w:szCs w:val="22"/>
              </w:rPr>
              <w:t>certain metrics are satisfied</w:t>
            </w:r>
            <w:r w:rsidR="00ED3B4B" w:rsidRPr="00C8279B">
              <w:rPr>
                <w:rFonts w:eastAsia="Times New Roman" w:cs="Times New Roman"/>
                <w:sz w:val="22"/>
                <w:szCs w:val="22"/>
              </w:rPr>
              <w:t>]</w:t>
            </w:r>
            <w:r w:rsidR="00AB2A9F" w:rsidRPr="00C8279B">
              <w:rPr>
                <w:rFonts w:eastAsia="Times New Roman" w:cs="Times New Roman"/>
                <w:sz w:val="22"/>
                <w:szCs w:val="22"/>
              </w:rPr>
              <w:t>]</w:t>
            </w:r>
            <w:r w:rsidR="00AB2A9F" w:rsidRPr="00C8279B">
              <w:rPr>
                <w:rStyle w:val="FootnoteReference"/>
                <w:rFonts w:eastAsia="Times New Roman" w:cs="Times New Roman"/>
                <w:sz w:val="22"/>
                <w:szCs w:val="22"/>
              </w:rPr>
              <w:footnoteReference w:id="9"/>
            </w:r>
          </w:p>
        </w:tc>
      </w:tr>
      <w:tr w:rsidR="00607394" w:rsidRPr="00C8279B" w14:paraId="0771276D" w14:textId="77777777" w:rsidTr="0048466A">
        <w:trPr>
          <w:trHeight w:val="530"/>
        </w:trPr>
        <w:tc>
          <w:tcPr>
            <w:tcW w:w="2160" w:type="dxa"/>
            <w:shd w:val="clear" w:color="auto" w:fill="auto"/>
          </w:tcPr>
          <w:p w14:paraId="1D26FDA8" w14:textId="4B1330F8" w:rsidR="001E2D6C" w:rsidRPr="00C8279B" w:rsidRDefault="001E2D6C" w:rsidP="001037B7">
            <w:pPr>
              <w:spacing w:before="120" w:after="120"/>
              <w:cnfStyle w:val="001000000000" w:firstRow="0" w:lastRow="0" w:firstColumn="1" w:lastColumn="0" w:oddVBand="0" w:evenVBand="0" w:oddHBand="0" w:evenHBand="0" w:firstRowFirstColumn="0" w:firstRowLastColumn="0" w:lastRowFirstColumn="0" w:lastRowLastColumn="0"/>
              <w:rPr>
                <w:rFonts w:eastAsia="Times New Roman" w:cs="Times New Roman"/>
                <w:sz w:val="22"/>
                <w:szCs w:val="22"/>
              </w:rPr>
            </w:pPr>
            <w:r w:rsidRPr="00C8279B">
              <w:rPr>
                <w:rFonts w:eastAsia="Times New Roman" w:cs="Times New Roman"/>
                <w:sz w:val="22"/>
                <w:szCs w:val="22"/>
              </w:rPr>
              <w:t>Revenue Definition</w:t>
            </w:r>
          </w:p>
        </w:tc>
        <w:tc>
          <w:tcPr>
            <w:tcW w:w="8280" w:type="dxa"/>
            <w:shd w:val="clear" w:color="auto" w:fill="auto"/>
          </w:tcPr>
          <w:p w14:paraId="7BDDCF93" w14:textId="114721AD" w:rsidR="00DB1175" w:rsidRPr="00C8279B" w:rsidRDefault="001E2D6C" w:rsidP="001037B7">
            <w:pPr>
              <w:spacing w:before="120" w:after="120"/>
              <w:rPr>
                <w:rFonts w:eastAsia="Times New Roman" w:cs="Times New Roman"/>
                <w:sz w:val="22"/>
                <w:szCs w:val="22"/>
              </w:rPr>
            </w:pPr>
            <w:r w:rsidRPr="00C8279B">
              <w:rPr>
                <w:rFonts w:eastAsia="Times New Roman" w:cs="Times New Roman"/>
                <w:sz w:val="22"/>
                <w:szCs w:val="22"/>
              </w:rPr>
              <w:t>“</w:t>
            </w:r>
            <w:r w:rsidRPr="00C8279B">
              <w:rPr>
                <w:rFonts w:eastAsia="Times New Roman" w:cs="Times New Roman"/>
                <w:sz w:val="22"/>
                <w:szCs w:val="22"/>
                <w:u w:val="single"/>
              </w:rPr>
              <w:t>Revenue</w:t>
            </w:r>
            <w:r w:rsidRPr="00C8279B">
              <w:rPr>
                <w:rFonts w:eastAsia="Times New Roman" w:cs="Times New Roman"/>
                <w:sz w:val="22"/>
                <w:szCs w:val="22"/>
              </w:rPr>
              <w:t xml:space="preserve">” </w:t>
            </w:r>
            <w:r w:rsidR="000E2488" w:rsidRPr="00C8279B">
              <w:rPr>
                <w:rFonts w:eastAsia="Times New Roman" w:cs="Times New Roman"/>
                <w:sz w:val="22"/>
                <w:szCs w:val="22"/>
              </w:rPr>
              <w:t xml:space="preserve">means </w:t>
            </w:r>
            <w:r w:rsidR="00A26276" w:rsidRPr="00C8279B">
              <w:rPr>
                <w:rFonts w:eastAsia="Times New Roman" w:cs="Times New Roman"/>
                <w:sz w:val="22"/>
                <w:szCs w:val="22"/>
              </w:rPr>
              <w:t xml:space="preserve">all payments and other revenues (exclusive, however, of any payment attributable to sales taxes) received by or on behalf of the Company or its consolidated subsidiaries from all sources relating to the ownership or operation of the Company’s assets and business, determined </w:t>
            </w:r>
            <w:r w:rsidR="00362F88">
              <w:rPr>
                <w:rFonts w:eastAsia="Times New Roman" w:cs="Times New Roman"/>
                <w:sz w:val="22"/>
                <w:szCs w:val="22"/>
              </w:rPr>
              <w:t>[</w:t>
            </w:r>
            <w:r w:rsidR="00A26276" w:rsidRPr="00C8279B">
              <w:rPr>
                <w:rFonts w:eastAsia="Times New Roman" w:cs="Times New Roman"/>
                <w:sz w:val="22"/>
                <w:szCs w:val="22"/>
              </w:rPr>
              <w:t xml:space="preserve">on a consolidated basis in accordance with </w:t>
            </w:r>
            <w:proofErr w:type="gramStart"/>
            <w:r w:rsidR="00A26276" w:rsidRPr="00C8279B">
              <w:rPr>
                <w:rFonts w:eastAsia="Times New Roman" w:cs="Times New Roman"/>
                <w:sz w:val="22"/>
                <w:szCs w:val="22"/>
              </w:rPr>
              <w:t>GAAP</w:t>
            </w:r>
            <w:r w:rsidR="00362F88">
              <w:rPr>
                <w:rFonts w:eastAsia="Times New Roman" w:cs="Times New Roman"/>
                <w:sz w:val="22"/>
                <w:szCs w:val="22"/>
              </w:rPr>
              <w:t>][</w:t>
            </w:r>
            <w:proofErr w:type="gramEnd"/>
            <w:r w:rsidR="00362F88">
              <w:rPr>
                <w:rFonts w:eastAsia="Times New Roman" w:cs="Times New Roman"/>
                <w:sz w:val="22"/>
                <w:szCs w:val="22"/>
              </w:rPr>
              <w:t>on a cash basis]</w:t>
            </w:r>
            <w:r w:rsidR="00A26276" w:rsidRPr="00C8279B">
              <w:rPr>
                <w:rFonts w:eastAsia="Times New Roman" w:cs="Times New Roman"/>
                <w:sz w:val="22"/>
                <w:szCs w:val="22"/>
              </w:rPr>
              <w:t>.</w:t>
            </w:r>
            <w:r w:rsidR="00F46A86" w:rsidRPr="00C8279B">
              <w:rPr>
                <w:rStyle w:val="FootnoteReference"/>
                <w:rFonts w:eastAsia="Times New Roman" w:cs="Times New Roman"/>
                <w:sz w:val="22"/>
                <w:szCs w:val="22"/>
              </w:rPr>
              <w:footnoteReference w:id="10"/>
            </w:r>
            <w:r w:rsidR="001A7117" w:rsidRPr="00C8279B">
              <w:rPr>
                <w:rStyle w:val="FootnoteReference"/>
                <w:rFonts w:cs="Times New Roman"/>
                <w:sz w:val="22"/>
                <w:szCs w:val="22"/>
              </w:rPr>
              <w:t xml:space="preserve"> </w:t>
            </w:r>
          </w:p>
        </w:tc>
      </w:tr>
      <w:tr w:rsidR="00F927B9" w:rsidRPr="00C8279B" w14:paraId="0CCB3F27" w14:textId="77777777" w:rsidTr="0048466A">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7D000B0E" w14:textId="42F49098" w:rsidR="001E2D6C" w:rsidRPr="00C8279B" w:rsidRDefault="001E2D6C" w:rsidP="001037B7">
            <w:pPr>
              <w:spacing w:before="120" w:after="120"/>
              <w:rPr>
                <w:rFonts w:eastAsia="Times New Roman" w:cs="Times New Roman"/>
                <w:sz w:val="22"/>
                <w:szCs w:val="22"/>
              </w:rPr>
            </w:pPr>
            <w:r w:rsidRPr="00C8279B">
              <w:rPr>
                <w:rFonts w:eastAsia="Times New Roman" w:cs="Times New Roman"/>
                <w:sz w:val="22"/>
                <w:szCs w:val="22"/>
              </w:rPr>
              <w:t>Reporting Requirements</w:t>
            </w:r>
          </w:p>
        </w:tc>
        <w:tc>
          <w:tcPr>
            <w:tcW w:w="8280" w:type="dxa"/>
            <w:shd w:val="clear" w:color="auto" w:fill="auto"/>
          </w:tcPr>
          <w:p w14:paraId="05B5069C" w14:textId="48927A01" w:rsidR="001E2D6C" w:rsidRPr="00C8279B" w:rsidRDefault="001E2D6C" w:rsidP="001037B7">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rPr>
            </w:pPr>
            <w:r w:rsidRPr="00C8279B">
              <w:rPr>
                <w:rFonts w:eastAsia="Times New Roman" w:cs="Times New Roman"/>
                <w:sz w:val="22"/>
                <w:szCs w:val="22"/>
              </w:rPr>
              <w:t xml:space="preserve">On a [Insert Time Period] basis, within [Insert Number of Days] of [Insert Time Period] end, </w:t>
            </w:r>
            <w:r w:rsidR="00CF25F8" w:rsidRPr="00C8279B">
              <w:rPr>
                <w:rFonts w:eastAsia="Times New Roman" w:cs="Times New Roman"/>
                <w:sz w:val="22"/>
                <w:szCs w:val="22"/>
              </w:rPr>
              <w:t>t</w:t>
            </w:r>
            <w:r w:rsidRPr="00C8279B">
              <w:rPr>
                <w:rFonts w:eastAsia="Times New Roman" w:cs="Times New Roman"/>
                <w:sz w:val="22"/>
                <w:szCs w:val="22"/>
              </w:rPr>
              <w:t xml:space="preserve">he </w:t>
            </w:r>
            <w:r w:rsidR="00DB71E5" w:rsidRPr="00C8279B">
              <w:rPr>
                <w:rFonts w:eastAsia="Times New Roman" w:cs="Times New Roman"/>
                <w:sz w:val="22"/>
                <w:szCs w:val="22"/>
              </w:rPr>
              <w:t>Company</w:t>
            </w:r>
            <w:r w:rsidRPr="00C8279B">
              <w:rPr>
                <w:rFonts w:eastAsia="Times New Roman" w:cs="Times New Roman"/>
                <w:sz w:val="22"/>
                <w:szCs w:val="22"/>
              </w:rPr>
              <w:t xml:space="preserve"> will submit to the </w:t>
            </w:r>
            <w:r w:rsidR="003F57A9" w:rsidRPr="00C8279B">
              <w:rPr>
                <w:rFonts w:eastAsia="Times New Roman" w:cs="Times New Roman"/>
                <w:sz w:val="22"/>
                <w:szCs w:val="22"/>
              </w:rPr>
              <w:t>Lender</w:t>
            </w:r>
            <w:r w:rsidRPr="00C8279B">
              <w:rPr>
                <w:rFonts w:eastAsia="Times New Roman" w:cs="Times New Roman"/>
                <w:sz w:val="22"/>
                <w:szCs w:val="22"/>
              </w:rPr>
              <w:t xml:space="preserve"> financial statements prepared in accordance with GAAP along with other reports as reasonably requested. </w:t>
            </w:r>
          </w:p>
        </w:tc>
      </w:tr>
      <w:tr w:rsidR="00B73726" w:rsidRPr="00C8279B" w14:paraId="041B18D2" w14:textId="77777777" w:rsidTr="0048466A">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00000028" w14:textId="09758AB0" w:rsidR="001E2D6C" w:rsidRPr="00C8279B" w:rsidRDefault="001E2D6C" w:rsidP="001037B7">
            <w:pPr>
              <w:spacing w:before="120" w:after="120"/>
              <w:rPr>
                <w:rFonts w:eastAsia="Times New Roman" w:cs="Times New Roman"/>
                <w:sz w:val="22"/>
                <w:szCs w:val="22"/>
              </w:rPr>
            </w:pPr>
            <w:r w:rsidRPr="00C8279B">
              <w:rPr>
                <w:rFonts w:eastAsia="Times New Roman" w:cs="Times New Roman"/>
                <w:sz w:val="22"/>
                <w:szCs w:val="22"/>
              </w:rPr>
              <w:t>Conditions Precedent</w:t>
            </w:r>
            <w:r w:rsidR="00C90B42" w:rsidRPr="00C8279B">
              <w:rPr>
                <w:rStyle w:val="FootnoteReference"/>
                <w:rFonts w:eastAsia="Times New Roman" w:cs="Times New Roman"/>
                <w:sz w:val="22"/>
                <w:szCs w:val="22"/>
              </w:rPr>
              <w:footnoteReference w:id="11"/>
            </w:r>
          </w:p>
        </w:tc>
        <w:tc>
          <w:tcPr>
            <w:tcW w:w="8280" w:type="dxa"/>
            <w:shd w:val="clear" w:color="auto" w:fill="auto"/>
          </w:tcPr>
          <w:p w14:paraId="00000029" w14:textId="447F9496" w:rsidR="001E2D6C" w:rsidRPr="00C8279B" w:rsidRDefault="001E2D6C" w:rsidP="001037B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C8279B">
              <w:rPr>
                <w:rFonts w:eastAsia="Times New Roman" w:cs="Times New Roman"/>
                <w:sz w:val="22"/>
                <w:szCs w:val="22"/>
              </w:rPr>
              <w:t>Conditions precedent as are usual and customary for facilities of this kind, including without limitation:</w:t>
            </w:r>
          </w:p>
          <w:p w14:paraId="0000002A" w14:textId="1334E798" w:rsidR="001E2D6C" w:rsidRPr="00C8279B" w:rsidRDefault="001E2D6C" w:rsidP="001037B7">
            <w:pPr>
              <w:pStyle w:val="ListNumber4"/>
              <w:numPr>
                <w:ilvl w:val="0"/>
                <w:numId w:val="8"/>
              </w:numPr>
              <w:pBdr>
                <w:top w:val="nil"/>
                <w:left w:val="nil"/>
                <w:bottom w:val="nil"/>
                <w:right w:val="nil"/>
                <w:between w:val="nil"/>
              </w:pBdr>
              <w:ind w:left="38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279B">
              <w:rPr>
                <w:rFonts w:ascii="Times New Roman" w:eastAsia="Times New Roman" w:hAnsi="Times New Roman" w:cs="Times New Roman"/>
                <w:color w:val="000000"/>
              </w:rPr>
              <w:t>Completion of satisfactory due diligence by the Lender</w:t>
            </w:r>
            <w:r w:rsidR="00EF426E" w:rsidRPr="00C8279B">
              <w:rPr>
                <w:rStyle w:val="FootnoteReference"/>
                <w:rFonts w:eastAsia="Times New Roman" w:cs="Times New Roman"/>
                <w:color w:val="000000"/>
              </w:rPr>
              <w:footnoteReference w:id="12"/>
            </w:r>
          </w:p>
          <w:p w14:paraId="0000002B" w14:textId="356824A2" w:rsidR="001E2D6C" w:rsidRPr="00C8279B" w:rsidRDefault="001E2D6C" w:rsidP="001037B7">
            <w:pPr>
              <w:numPr>
                <w:ilvl w:val="0"/>
                <w:numId w:val="1"/>
              </w:numPr>
              <w:pBdr>
                <w:top w:val="nil"/>
                <w:left w:val="nil"/>
                <w:bottom w:val="nil"/>
                <w:right w:val="nil"/>
                <w:between w:val="nil"/>
              </w:pBdr>
              <w:ind w:left="389"/>
              <w:cnfStyle w:val="000000000000" w:firstRow="0" w:lastRow="0" w:firstColumn="0" w:lastColumn="0" w:oddVBand="0" w:evenVBand="0" w:oddHBand="0" w:evenHBand="0" w:firstRowFirstColumn="0" w:firstRowLastColumn="0" w:lastRowFirstColumn="0" w:lastRowLastColumn="0"/>
              <w:rPr>
                <w:rFonts w:eastAsia="Arial" w:cs="Times New Roman"/>
                <w:color w:val="000000"/>
                <w:sz w:val="22"/>
                <w:szCs w:val="22"/>
              </w:rPr>
            </w:pPr>
            <w:r w:rsidRPr="00C8279B">
              <w:rPr>
                <w:rFonts w:eastAsia="Times New Roman" w:cs="Times New Roman"/>
                <w:color w:val="000000"/>
                <w:sz w:val="22"/>
                <w:szCs w:val="22"/>
              </w:rPr>
              <w:t xml:space="preserve">Negotiation and execution of </w:t>
            </w:r>
            <w:r w:rsidR="00B66C9C" w:rsidRPr="00C8279B">
              <w:rPr>
                <w:rFonts w:eastAsia="Times New Roman" w:cs="Times New Roman"/>
                <w:color w:val="000000"/>
                <w:sz w:val="22"/>
                <w:szCs w:val="22"/>
              </w:rPr>
              <w:t xml:space="preserve">RBL </w:t>
            </w:r>
            <w:r w:rsidRPr="00C8279B">
              <w:rPr>
                <w:rFonts w:eastAsia="Times New Roman" w:cs="Times New Roman"/>
                <w:color w:val="000000"/>
                <w:sz w:val="22"/>
                <w:szCs w:val="22"/>
              </w:rPr>
              <w:t>Documents satisfactory to the Lender</w:t>
            </w:r>
          </w:p>
          <w:p w14:paraId="0000002C" w14:textId="775228C6" w:rsidR="001E2D6C" w:rsidRPr="00C8279B" w:rsidRDefault="001E2D6C" w:rsidP="001037B7">
            <w:pPr>
              <w:numPr>
                <w:ilvl w:val="0"/>
                <w:numId w:val="1"/>
              </w:numPr>
              <w:pBdr>
                <w:top w:val="nil"/>
                <w:left w:val="nil"/>
                <w:bottom w:val="nil"/>
                <w:right w:val="nil"/>
                <w:between w:val="nil"/>
              </w:pBdr>
              <w:ind w:left="389"/>
              <w:cnfStyle w:val="000000000000" w:firstRow="0" w:lastRow="0" w:firstColumn="0" w:lastColumn="0" w:oddVBand="0" w:evenVBand="0" w:oddHBand="0" w:evenHBand="0" w:firstRowFirstColumn="0" w:firstRowLastColumn="0" w:lastRowFirstColumn="0" w:lastRowLastColumn="0"/>
              <w:rPr>
                <w:rFonts w:eastAsia="Arial" w:cs="Times New Roman"/>
                <w:color w:val="000000"/>
                <w:sz w:val="22"/>
                <w:szCs w:val="22"/>
              </w:rPr>
            </w:pPr>
            <w:r w:rsidRPr="00C8279B">
              <w:rPr>
                <w:rFonts w:eastAsia="Times New Roman" w:cs="Times New Roman"/>
                <w:color w:val="000000"/>
                <w:sz w:val="22"/>
                <w:szCs w:val="22"/>
              </w:rPr>
              <w:lastRenderedPageBreak/>
              <w:t xml:space="preserve">Receipt by Lender of other customary closing documents and deliverables, including organizational documents, authorizing resolutions, officers’ </w:t>
            </w:r>
            <w:proofErr w:type="gramStart"/>
            <w:r w:rsidRPr="00C8279B">
              <w:rPr>
                <w:rFonts w:eastAsia="Times New Roman" w:cs="Times New Roman"/>
                <w:color w:val="000000"/>
                <w:sz w:val="22"/>
                <w:szCs w:val="22"/>
              </w:rPr>
              <w:t>certificates</w:t>
            </w:r>
            <w:proofErr w:type="gramEnd"/>
            <w:r w:rsidRPr="00C8279B">
              <w:rPr>
                <w:rFonts w:eastAsia="Times New Roman" w:cs="Times New Roman"/>
                <w:color w:val="000000"/>
                <w:sz w:val="22"/>
                <w:szCs w:val="22"/>
              </w:rPr>
              <w:t xml:space="preserve"> and evidence of good standing  </w:t>
            </w:r>
          </w:p>
          <w:p w14:paraId="0000002D" w14:textId="25F3308A" w:rsidR="001E2D6C" w:rsidRPr="00C8279B" w:rsidRDefault="001E2D6C" w:rsidP="001037B7">
            <w:pPr>
              <w:numPr>
                <w:ilvl w:val="0"/>
                <w:numId w:val="1"/>
              </w:numPr>
              <w:pBdr>
                <w:top w:val="nil"/>
                <w:left w:val="nil"/>
                <w:bottom w:val="nil"/>
                <w:right w:val="nil"/>
                <w:between w:val="nil"/>
              </w:pBdr>
              <w:ind w:left="389"/>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rPr>
            </w:pPr>
            <w:r w:rsidRPr="00C8279B">
              <w:rPr>
                <w:rFonts w:eastAsia="Times New Roman" w:cs="Times New Roman"/>
                <w:color w:val="000000"/>
                <w:sz w:val="22"/>
                <w:szCs w:val="22"/>
              </w:rPr>
              <w:t>Confirmation of no material adverse change</w:t>
            </w:r>
          </w:p>
          <w:p w14:paraId="41864F8D" w14:textId="7D99D44D" w:rsidR="001E2D6C" w:rsidRPr="00C8279B" w:rsidRDefault="001E2D6C" w:rsidP="001037B7">
            <w:pPr>
              <w:numPr>
                <w:ilvl w:val="0"/>
                <w:numId w:val="1"/>
              </w:numPr>
              <w:pBdr>
                <w:top w:val="nil"/>
                <w:left w:val="nil"/>
                <w:bottom w:val="nil"/>
                <w:right w:val="nil"/>
                <w:between w:val="nil"/>
              </w:pBdr>
              <w:ind w:left="389"/>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rPr>
            </w:pPr>
            <w:r w:rsidRPr="00C8279B">
              <w:rPr>
                <w:rFonts w:eastAsia="Times New Roman" w:cs="Times New Roman"/>
                <w:color w:val="000000"/>
                <w:sz w:val="22"/>
                <w:szCs w:val="22"/>
              </w:rPr>
              <w:t>Receipt of all necessary governmental and third-party consents</w:t>
            </w:r>
          </w:p>
          <w:p w14:paraId="00000030" w14:textId="10FEE1D3" w:rsidR="001E2D6C" w:rsidRPr="00C8279B" w:rsidRDefault="001E2D6C" w:rsidP="001037B7">
            <w:pPr>
              <w:numPr>
                <w:ilvl w:val="0"/>
                <w:numId w:val="1"/>
              </w:numPr>
              <w:pBdr>
                <w:top w:val="nil"/>
                <w:left w:val="nil"/>
                <w:bottom w:val="nil"/>
                <w:right w:val="nil"/>
                <w:between w:val="nil"/>
              </w:pBdr>
              <w:spacing w:after="120"/>
              <w:ind w:left="389"/>
              <w:cnfStyle w:val="000000000000" w:firstRow="0" w:lastRow="0" w:firstColumn="0" w:lastColumn="0" w:oddVBand="0" w:evenVBand="0" w:oddHBand="0" w:evenHBand="0" w:firstRowFirstColumn="0" w:firstRowLastColumn="0" w:lastRowFirstColumn="0" w:lastRowLastColumn="0"/>
              <w:rPr>
                <w:rFonts w:eastAsia="Arial" w:cs="Times New Roman"/>
                <w:color w:val="000000"/>
                <w:sz w:val="22"/>
                <w:szCs w:val="22"/>
              </w:rPr>
            </w:pPr>
            <w:r w:rsidRPr="00C8279B">
              <w:rPr>
                <w:rFonts w:eastAsia="Times New Roman" w:cs="Times New Roman"/>
                <w:color w:val="000000"/>
                <w:sz w:val="22"/>
                <w:szCs w:val="22"/>
              </w:rPr>
              <w:t>Additional conditions precedent as the Lender may require</w:t>
            </w:r>
          </w:p>
        </w:tc>
      </w:tr>
      <w:tr w:rsidR="00B73726" w:rsidRPr="00C8279B" w14:paraId="1DE3FDB7" w14:textId="77777777" w:rsidTr="0048466A">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68B69668" w14:textId="764FBDFE" w:rsidR="001E2D6C" w:rsidRPr="00C8279B" w:rsidRDefault="001E2D6C" w:rsidP="001037B7">
            <w:pPr>
              <w:spacing w:before="120" w:after="120"/>
              <w:rPr>
                <w:rFonts w:eastAsia="Times New Roman" w:cs="Times New Roman"/>
                <w:sz w:val="22"/>
                <w:szCs w:val="22"/>
              </w:rPr>
            </w:pPr>
            <w:r w:rsidRPr="00C8279B">
              <w:rPr>
                <w:rFonts w:eastAsia="Times New Roman" w:cs="Times New Roman"/>
                <w:sz w:val="22"/>
                <w:szCs w:val="22"/>
              </w:rPr>
              <w:lastRenderedPageBreak/>
              <w:t xml:space="preserve">Representations and Warranties of the </w:t>
            </w:r>
            <w:r w:rsidR="00DB71E5" w:rsidRPr="00C8279B">
              <w:rPr>
                <w:rFonts w:eastAsia="Times New Roman" w:cs="Times New Roman"/>
                <w:sz w:val="22"/>
                <w:szCs w:val="22"/>
              </w:rPr>
              <w:t>Company</w:t>
            </w:r>
            <w:r w:rsidR="00526283" w:rsidRPr="00C8279B">
              <w:rPr>
                <w:rStyle w:val="FootnoteReference"/>
                <w:rFonts w:eastAsia="Times New Roman" w:cs="Times New Roman"/>
                <w:sz w:val="22"/>
                <w:szCs w:val="22"/>
              </w:rPr>
              <w:footnoteReference w:id="13"/>
            </w:r>
          </w:p>
        </w:tc>
        <w:tc>
          <w:tcPr>
            <w:tcW w:w="8280" w:type="dxa"/>
            <w:shd w:val="clear" w:color="auto" w:fill="auto"/>
          </w:tcPr>
          <w:p w14:paraId="5E19A1FE" w14:textId="610CA5AA" w:rsidR="001E2D6C" w:rsidRPr="00C8279B" w:rsidRDefault="001E2D6C" w:rsidP="001037B7">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rPr>
            </w:pPr>
            <w:r w:rsidRPr="00C8279B">
              <w:rPr>
                <w:rFonts w:eastAsia="Times New Roman" w:cs="Times New Roman"/>
                <w:sz w:val="22"/>
                <w:szCs w:val="22"/>
              </w:rPr>
              <w:t xml:space="preserve">Representations and warranties by the </w:t>
            </w:r>
            <w:r w:rsidR="00DB71E5" w:rsidRPr="00C8279B">
              <w:rPr>
                <w:rFonts w:eastAsia="Times New Roman" w:cs="Times New Roman"/>
                <w:sz w:val="22"/>
                <w:szCs w:val="22"/>
              </w:rPr>
              <w:t>Company</w:t>
            </w:r>
            <w:r w:rsidRPr="00C8279B">
              <w:rPr>
                <w:rFonts w:eastAsia="Times New Roman" w:cs="Times New Roman"/>
                <w:sz w:val="22"/>
                <w:szCs w:val="22"/>
              </w:rPr>
              <w:t xml:space="preserve"> as are usual and customary for facilities of this kind, including, without limitation:</w:t>
            </w:r>
          </w:p>
          <w:p w14:paraId="18687846" w14:textId="50DD6A54" w:rsidR="001E2D6C" w:rsidRPr="00C8279B" w:rsidRDefault="006B093F" w:rsidP="001037B7">
            <w:pPr>
              <w:pStyle w:val="ListNumber4"/>
              <w:numPr>
                <w:ilvl w:val="0"/>
                <w:numId w:val="6"/>
              </w:numPr>
              <w:ind w:left="389"/>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8279B">
              <w:rPr>
                <w:rStyle w:val="Title-Subclause1"/>
                <w:b w:val="0"/>
                <w:sz w:val="22"/>
              </w:rPr>
              <w:t xml:space="preserve">Existence; Compliance </w:t>
            </w:r>
            <w:r w:rsidR="00F52475" w:rsidRPr="00C8279B">
              <w:rPr>
                <w:rStyle w:val="Title-Subclause1"/>
                <w:b w:val="0"/>
                <w:sz w:val="22"/>
              </w:rPr>
              <w:t>w</w:t>
            </w:r>
            <w:r w:rsidRPr="00C8279B">
              <w:rPr>
                <w:rStyle w:val="Title-Subclause1"/>
                <w:b w:val="0"/>
                <w:sz w:val="22"/>
              </w:rPr>
              <w:t>ith Laws</w:t>
            </w:r>
          </w:p>
          <w:p w14:paraId="7ADAD797" w14:textId="553276A6" w:rsidR="001E2D6C" w:rsidRPr="00C8279B" w:rsidRDefault="006B093F" w:rsidP="001037B7">
            <w:pPr>
              <w:numPr>
                <w:ilvl w:val="0"/>
                <w:numId w:val="1"/>
              </w:numPr>
              <w:ind w:left="389"/>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r w:rsidRPr="00C8279B">
              <w:rPr>
                <w:rStyle w:val="Title-Subclause1"/>
                <w:b w:val="0"/>
                <w:sz w:val="22"/>
              </w:rPr>
              <w:t>Power; Authorization; Enforceability</w:t>
            </w:r>
          </w:p>
          <w:p w14:paraId="34796436" w14:textId="3D927581" w:rsidR="001E2D6C" w:rsidRPr="00C8279B" w:rsidRDefault="006B093F" w:rsidP="001037B7">
            <w:pPr>
              <w:numPr>
                <w:ilvl w:val="0"/>
                <w:numId w:val="1"/>
              </w:numPr>
              <w:ind w:left="389"/>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r w:rsidRPr="00C8279B">
              <w:rPr>
                <w:rStyle w:val="Title-Subclause1"/>
                <w:b w:val="0"/>
                <w:sz w:val="22"/>
              </w:rPr>
              <w:t>No Contravention</w:t>
            </w:r>
            <w:r w:rsidR="00F52475" w:rsidRPr="00C8279B">
              <w:rPr>
                <w:rStyle w:val="Title-Subclause1"/>
                <w:b w:val="0"/>
                <w:sz w:val="22"/>
              </w:rPr>
              <w:t xml:space="preserve"> of Law or Contractual Obligation</w:t>
            </w:r>
          </w:p>
          <w:p w14:paraId="47AEFB27" w14:textId="1C23303D" w:rsidR="001E2D6C" w:rsidRPr="00C8279B" w:rsidRDefault="00F52475" w:rsidP="001037B7">
            <w:pPr>
              <w:numPr>
                <w:ilvl w:val="0"/>
                <w:numId w:val="1"/>
              </w:numPr>
              <w:ind w:left="389"/>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r w:rsidRPr="00C8279B">
              <w:rPr>
                <w:rStyle w:val="Title-Subclause1"/>
                <w:b w:val="0"/>
                <w:sz w:val="22"/>
              </w:rPr>
              <w:t xml:space="preserve">Accuracy of </w:t>
            </w:r>
            <w:r w:rsidR="006B093F" w:rsidRPr="00C8279B">
              <w:rPr>
                <w:rStyle w:val="Title-Subclause1"/>
                <w:b w:val="0"/>
                <w:sz w:val="22"/>
              </w:rPr>
              <w:t>Financial Statements</w:t>
            </w:r>
          </w:p>
          <w:p w14:paraId="2770D7CF" w14:textId="709B82DE" w:rsidR="001E2D6C" w:rsidRPr="00C8279B" w:rsidRDefault="00F52475" w:rsidP="001037B7">
            <w:pPr>
              <w:numPr>
                <w:ilvl w:val="0"/>
                <w:numId w:val="1"/>
              </w:numPr>
              <w:ind w:left="389"/>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r w:rsidRPr="00C8279B">
              <w:rPr>
                <w:rStyle w:val="Title-Subclause1"/>
                <w:b w:val="0"/>
                <w:sz w:val="22"/>
              </w:rPr>
              <w:t>No Material Adverse Effect</w:t>
            </w:r>
          </w:p>
          <w:p w14:paraId="363E8DA0" w14:textId="0C1991B5" w:rsidR="00F52475" w:rsidRPr="00C8279B" w:rsidRDefault="00F52475" w:rsidP="001037B7">
            <w:pPr>
              <w:numPr>
                <w:ilvl w:val="0"/>
                <w:numId w:val="1"/>
              </w:numPr>
              <w:ind w:left="389"/>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r w:rsidRPr="00C8279B">
              <w:rPr>
                <w:rStyle w:val="Title-Subclause1"/>
                <w:b w:val="0"/>
                <w:sz w:val="22"/>
              </w:rPr>
              <w:t>No Litigation</w:t>
            </w:r>
          </w:p>
          <w:p w14:paraId="62EA01A4" w14:textId="3CA58272" w:rsidR="00F52475" w:rsidRPr="00C8279B" w:rsidRDefault="00F52475" w:rsidP="001037B7">
            <w:pPr>
              <w:numPr>
                <w:ilvl w:val="0"/>
                <w:numId w:val="1"/>
              </w:numPr>
              <w:ind w:left="389"/>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r w:rsidRPr="00C8279B">
              <w:rPr>
                <w:rStyle w:val="Title-Subclause1"/>
                <w:b w:val="0"/>
                <w:sz w:val="22"/>
              </w:rPr>
              <w:t>No Default</w:t>
            </w:r>
          </w:p>
          <w:p w14:paraId="264A1266" w14:textId="2777F695" w:rsidR="00F52475" w:rsidRPr="00C8279B" w:rsidRDefault="00F52475" w:rsidP="001037B7">
            <w:pPr>
              <w:numPr>
                <w:ilvl w:val="0"/>
                <w:numId w:val="1"/>
              </w:numPr>
              <w:ind w:left="389"/>
              <w:cnfStyle w:val="000000100000" w:firstRow="0" w:lastRow="0" w:firstColumn="0" w:lastColumn="0" w:oddVBand="0" w:evenVBand="0" w:oddHBand="1" w:evenHBand="0" w:firstRowFirstColumn="0" w:firstRowLastColumn="0" w:lastRowFirstColumn="0" w:lastRowLastColumn="0"/>
              <w:rPr>
                <w:rStyle w:val="Title-Subclause1"/>
                <w:rFonts w:eastAsia="Times New Roman"/>
                <w:b w:val="0"/>
                <w:sz w:val="22"/>
              </w:rPr>
            </w:pPr>
            <w:r w:rsidRPr="00C8279B">
              <w:rPr>
                <w:rStyle w:val="Title-Subclause1"/>
                <w:b w:val="0"/>
                <w:sz w:val="22"/>
              </w:rPr>
              <w:t>Ownership of Property; Liens</w:t>
            </w:r>
          </w:p>
          <w:p w14:paraId="66E62F61" w14:textId="52654BDA" w:rsidR="00F52475" w:rsidRPr="00C8279B" w:rsidRDefault="00F52475" w:rsidP="001037B7">
            <w:pPr>
              <w:numPr>
                <w:ilvl w:val="0"/>
                <w:numId w:val="1"/>
              </w:numPr>
              <w:ind w:left="389"/>
              <w:cnfStyle w:val="000000100000" w:firstRow="0" w:lastRow="0" w:firstColumn="0" w:lastColumn="0" w:oddVBand="0" w:evenVBand="0" w:oddHBand="1" w:evenHBand="0" w:firstRowFirstColumn="0" w:firstRowLastColumn="0" w:lastRowFirstColumn="0" w:lastRowLastColumn="0"/>
              <w:rPr>
                <w:rStyle w:val="Title-Subclause1"/>
                <w:rFonts w:eastAsia="Times New Roman"/>
                <w:b w:val="0"/>
                <w:sz w:val="22"/>
              </w:rPr>
            </w:pPr>
            <w:r w:rsidRPr="00C8279B">
              <w:rPr>
                <w:rStyle w:val="Title-Subclause1"/>
                <w:b w:val="0"/>
                <w:sz w:val="22"/>
              </w:rPr>
              <w:t>Environmental Matters</w:t>
            </w:r>
          </w:p>
          <w:p w14:paraId="2E054A83" w14:textId="6D3D92A9" w:rsidR="00F52475" w:rsidRPr="00C8279B" w:rsidRDefault="00F52475" w:rsidP="001037B7">
            <w:pPr>
              <w:numPr>
                <w:ilvl w:val="0"/>
                <w:numId w:val="1"/>
              </w:numPr>
              <w:ind w:left="389"/>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r w:rsidRPr="00C8279B">
              <w:rPr>
                <w:rFonts w:eastAsia="Times New Roman" w:cs="Times New Roman"/>
                <w:color w:val="000000"/>
                <w:sz w:val="22"/>
                <w:szCs w:val="22"/>
              </w:rPr>
              <w:t>Insurance</w:t>
            </w:r>
          </w:p>
          <w:p w14:paraId="74CF07E5" w14:textId="7C288EE6" w:rsidR="00F52475" w:rsidRPr="00C8279B" w:rsidRDefault="00F52475" w:rsidP="001037B7">
            <w:pPr>
              <w:numPr>
                <w:ilvl w:val="0"/>
                <w:numId w:val="1"/>
              </w:numPr>
              <w:ind w:left="389"/>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r w:rsidRPr="00C8279B">
              <w:rPr>
                <w:rFonts w:eastAsia="Times New Roman" w:cs="Times New Roman"/>
                <w:color w:val="000000"/>
                <w:sz w:val="22"/>
                <w:szCs w:val="22"/>
              </w:rPr>
              <w:t>Material Contracts</w:t>
            </w:r>
          </w:p>
          <w:p w14:paraId="4ED731AA" w14:textId="07D26C09" w:rsidR="00F52475" w:rsidRPr="00C8279B" w:rsidRDefault="00F52475" w:rsidP="001037B7">
            <w:pPr>
              <w:numPr>
                <w:ilvl w:val="0"/>
                <w:numId w:val="1"/>
              </w:numPr>
              <w:ind w:left="389"/>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r w:rsidRPr="00C8279B">
              <w:rPr>
                <w:rFonts w:eastAsia="Times New Roman" w:cs="Times New Roman"/>
                <w:color w:val="000000"/>
                <w:sz w:val="22"/>
                <w:szCs w:val="22"/>
              </w:rPr>
              <w:t>Intellectual Property</w:t>
            </w:r>
          </w:p>
          <w:p w14:paraId="2E875A81" w14:textId="6C2033EF" w:rsidR="00F52475" w:rsidRPr="00C8279B" w:rsidRDefault="00F52475" w:rsidP="001037B7">
            <w:pPr>
              <w:numPr>
                <w:ilvl w:val="0"/>
                <w:numId w:val="1"/>
              </w:numPr>
              <w:ind w:left="389"/>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r w:rsidRPr="00C8279B">
              <w:rPr>
                <w:rFonts w:eastAsia="Times New Roman" w:cs="Times New Roman"/>
                <w:color w:val="000000"/>
                <w:sz w:val="22"/>
                <w:szCs w:val="22"/>
              </w:rPr>
              <w:t xml:space="preserve">Payment of </w:t>
            </w:r>
            <w:proofErr w:type="gramStart"/>
            <w:r w:rsidRPr="00C8279B">
              <w:rPr>
                <w:rFonts w:eastAsia="Times New Roman" w:cs="Times New Roman"/>
                <w:color w:val="000000"/>
                <w:sz w:val="22"/>
                <w:szCs w:val="22"/>
              </w:rPr>
              <w:t>Taxes;</w:t>
            </w:r>
            <w:proofErr w:type="gramEnd"/>
          </w:p>
          <w:p w14:paraId="2A754BAA" w14:textId="558A838A" w:rsidR="00F52475" w:rsidRPr="00C8279B" w:rsidRDefault="00F52475" w:rsidP="001037B7">
            <w:pPr>
              <w:numPr>
                <w:ilvl w:val="0"/>
                <w:numId w:val="1"/>
              </w:numPr>
              <w:ind w:left="389"/>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r w:rsidRPr="00C8279B">
              <w:rPr>
                <w:rFonts w:eastAsia="Times New Roman" w:cs="Times New Roman"/>
                <w:color w:val="000000"/>
                <w:sz w:val="22"/>
                <w:szCs w:val="22"/>
              </w:rPr>
              <w:t xml:space="preserve">Subsidiaries; Equity </w:t>
            </w:r>
            <w:proofErr w:type="gramStart"/>
            <w:r w:rsidRPr="00C8279B">
              <w:rPr>
                <w:rFonts w:eastAsia="Times New Roman" w:cs="Times New Roman"/>
                <w:color w:val="000000"/>
                <w:sz w:val="22"/>
                <w:szCs w:val="22"/>
              </w:rPr>
              <w:t>Interests;</w:t>
            </w:r>
            <w:proofErr w:type="gramEnd"/>
          </w:p>
          <w:p w14:paraId="16D188A0" w14:textId="1DBB10AD" w:rsidR="00F52475" w:rsidRPr="00C8279B" w:rsidRDefault="002B2889" w:rsidP="001037B7">
            <w:pPr>
              <w:numPr>
                <w:ilvl w:val="0"/>
                <w:numId w:val="1"/>
              </w:numPr>
              <w:ind w:left="389"/>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r w:rsidRPr="00C8279B">
              <w:rPr>
                <w:rFonts w:eastAsia="Times New Roman" w:cs="Times New Roman"/>
                <w:color w:val="000000"/>
                <w:sz w:val="22"/>
                <w:szCs w:val="22"/>
              </w:rPr>
              <w:t>Accuracy of Information</w:t>
            </w:r>
          </w:p>
          <w:p w14:paraId="335873D9" w14:textId="4BF78540" w:rsidR="001E2D6C" w:rsidRPr="00C8279B" w:rsidRDefault="001E2D6C" w:rsidP="001037B7">
            <w:pPr>
              <w:numPr>
                <w:ilvl w:val="0"/>
                <w:numId w:val="1"/>
              </w:numPr>
              <w:ind w:left="389"/>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r w:rsidRPr="00C8279B">
              <w:rPr>
                <w:rFonts w:eastAsia="Times New Roman" w:cs="Times New Roman"/>
                <w:color w:val="000000"/>
                <w:sz w:val="22"/>
                <w:szCs w:val="22"/>
              </w:rPr>
              <w:t xml:space="preserve">[Additional Representations and Warranties of the </w:t>
            </w:r>
            <w:r w:rsidR="00DB71E5" w:rsidRPr="00C8279B">
              <w:rPr>
                <w:rFonts w:eastAsia="Times New Roman" w:cs="Times New Roman"/>
                <w:color w:val="000000"/>
                <w:sz w:val="22"/>
                <w:szCs w:val="22"/>
              </w:rPr>
              <w:t>Company</w:t>
            </w:r>
            <w:r w:rsidRPr="00C8279B">
              <w:rPr>
                <w:rFonts w:eastAsia="Times New Roman" w:cs="Times New Roman"/>
                <w:color w:val="000000"/>
                <w:sz w:val="22"/>
                <w:szCs w:val="22"/>
              </w:rPr>
              <w:t>]</w:t>
            </w:r>
          </w:p>
          <w:p w14:paraId="3FB50094" w14:textId="71D8EBB0" w:rsidR="001E2D6C" w:rsidRPr="00C8279B" w:rsidRDefault="001E2D6C" w:rsidP="001037B7">
            <w:pPr>
              <w:spacing w:before="120" w:after="120"/>
              <w:ind w:left="30"/>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rPr>
            </w:pPr>
          </w:p>
        </w:tc>
      </w:tr>
      <w:tr w:rsidR="006540C0" w:rsidRPr="00C8279B" w14:paraId="1E93D2C2" w14:textId="77777777" w:rsidTr="0048466A">
        <w:trPr>
          <w:trHeight w:val="1728"/>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00000031" w14:textId="4F6F29EB" w:rsidR="001E2D6C" w:rsidRPr="00C8279B" w:rsidRDefault="001E2D6C" w:rsidP="001037B7">
            <w:pPr>
              <w:spacing w:before="120" w:after="120"/>
              <w:rPr>
                <w:rFonts w:eastAsia="Times New Roman" w:cs="Times New Roman"/>
                <w:sz w:val="22"/>
                <w:szCs w:val="22"/>
              </w:rPr>
            </w:pPr>
            <w:r w:rsidRPr="00C8279B">
              <w:rPr>
                <w:rFonts w:eastAsia="Times New Roman" w:cs="Times New Roman"/>
                <w:sz w:val="22"/>
                <w:szCs w:val="22"/>
              </w:rPr>
              <w:t>Covenants</w:t>
            </w:r>
            <w:r w:rsidRPr="00C8279B">
              <w:rPr>
                <w:rStyle w:val="FootnoteReference"/>
                <w:rFonts w:eastAsia="Times New Roman" w:cs="Times New Roman"/>
                <w:sz w:val="22"/>
                <w:szCs w:val="22"/>
              </w:rPr>
              <w:footnoteReference w:id="14"/>
            </w:r>
          </w:p>
        </w:tc>
        <w:tc>
          <w:tcPr>
            <w:tcW w:w="8280" w:type="dxa"/>
            <w:shd w:val="clear" w:color="auto" w:fill="auto"/>
          </w:tcPr>
          <w:p w14:paraId="65537546" w14:textId="3C0EAB5C" w:rsidR="001E2D6C" w:rsidRPr="00C8279B" w:rsidRDefault="001E2D6C" w:rsidP="001037B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C8279B">
              <w:rPr>
                <w:rFonts w:eastAsia="Times New Roman" w:cs="Times New Roman"/>
                <w:sz w:val="22"/>
                <w:szCs w:val="22"/>
              </w:rPr>
              <w:t>Affirmative and negative covenants as are usual and customary for facilities of this kind, including without limitation:</w:t>
            </w:r>
          </w:p>
          <w:p w14:paraId="1A5E5B2E" w14:textId="71BFC070" w:rsidR="00364C64" w:rsidRPr="00C8279B" w:rsidRDefault="00364C64" w:rsidP="001037B7">
            <w:pPr>
              <w:pStyle w:val="ListNumber4"/>
              <w:numPr>
                <w:ilvl w:val="0"/>
                <w:numId w:val="5"/>
              </w:numPr>
              <w:ind w:left="389"/>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8279B">
              <w:rPr>
                <w:rFonts w:ascii="Times New Roman" w:eastAsia="Times New Roman" w:hAnsi="Times New Roman" w:cs="Times New Roman"/>
                <w:color w:val="000000"/>
              </w:rPr>
              <w:t>Delivery of Financial Statements</w:t>
            </w:r>
            <w:r w:rsidR="006A2245" w:rsidRPr="00C8279B">
              <w:rPr>
                <w:rFonts w:ascii="Times New Roman" w:eastAsia="Times New Roman" w:hAnsi="Times New Roman" w:cs="Times New Roman"/>
                <w:color w:val="000000"/>
              </w:rPr>
              <w:t xml:space="preserve">, </w:t>
            </w:r>
            <w:proofErr w:type="gramStart"/>
            <w:r w:rsidR="006A2245" w:rsidRPr="00C8279B">
              <w:rPr>
                <w:rFonts w:ascii="Times New Roman" w:eastAsia="Times New Roman" w:hAnsi="Times New Roman" w:cs="Times New Roman"/>
                <w:color w:val="000000"/>
              </w:rPr>
              <w:t>Budget</w:t>
            </w:r>
            <w:proofErr w:type="gramEnd"/>
            <w:r w:rsidRPr="00C8279B">
              <w:rPr>
                <w:rFonts w:ascii="Times New Roman" w:eastAsia="Times New Roman" w:hAnsi="Times New Roman" w:cs="Times New Roman"/>
                <w:color w:val="000000"/>
              </w:rPr>
              <w:t xml:space="preserve"> and Financial Projections</w:t>
            </w:r>
          </w:p>
          <w:p w14:paraId="4DC6F8DD" w14:textId="644680DF" w:rsidR="001E2D6C" w:rsidRPr="00C8279B" w:rsidRDefault="00364C64" w:rsidP="001037B7">
            <w:pPr>
              <w:pStyle w:val="ListNumber4"/>
              <w:numPr>
                <w:ilvl w:val="0"/>
                <w:numId w:val="5"/>
              </w:numPr>
              <w:ind w:left="389"/>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8279B">
              <w:rPr>
                <w:rFonts w:ascii="Times New Roman" w:eastAsia="Times New Roman" w:hAnsi="Times New Roman" w:cs="Times New Roman"/>
                <w:color w:val="000000"/>
              </w:rPr>
              <w:t>Delivery of Notices (including notices of default, litigation, and material adverse change)</w:t>
            </w:r>
            <w:r w:rsidR="001E2D6C" w:rsidRPr="00C8279B">
              <w:rPr>
                <w:rFonts w:ascii="Times New Roman" w:eastAsia="Times New Roman" w:hAnsi="Times New Roman" w:cs="Times New Roman"/>
                <w:color w:val="000000"/>
              </w:rPr>
              <w:t xml:space="preserve"> </w:t>
            </w:r>
          </w:p>
          <w:p w14:paraId="6546087B" w14:textId="77C2A5E8" w:rsidR="001E2D6C" w:rsidRPr="00C8279B" w:rsidRDefault="001E2D6C" w:rsidP="001037B7">
            <w:pPr>
              <w:numPr>
                <w:ilvl w:val="0"/>
                <w:numId w:val="1"/>
              </w:numPr>
              <w:ind w:left="389"/>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rPr>
            </w:pPr>
            <w:r w:rsidRPr="00C8279B">
              <w:rPr>
                <w:rFonts w:eastAsia="Times New Roman" w:cs="Times New Roman"/>
                <w:color w:val="000000"/>
                <w:sz w:val="22"/>
                <w:szCs w:val="22"/>
              </w:rPr>
              <w:t xml:space="preserve">Maintenance of </w:t>
            </w:r>
            <w:r w:rsidR="00364C64" w:rsidRPr="00C8279B">
              <w:rPr>
                <w:rFonts w:eastAsia="Times New Roman" w:cs="Times New Roman"/>
                <w:color w:val="000000"/>
                <w:sz w:val="22"/>
                <w:szCs w:val="22"/>
              </w:rPr>
              <w:t>Existence</w:t>
            </w:r>
            <w:r w:rsidRPr="00C8279B">
              <w:rPr>
                <w:rFonts w:eastAsia="Times New Roman" w:cs="Times New Roman"/>
                <w:color w:val="000000"/>
                <w:sz w:val="22"/>
                <w:szCs w:val="22"/>
              </w:rPr>
              <w:t xml:space="preserve">, </w:t>
            </w:r>
            <w:r w:rsidR="00364C64" w:rsidRPr="00C8279B">
              <w:rPr>
                <w:rFonts w:eastAsia="Times New Roman" w:cs="Times New Roman"/>
                <w:color w:val="000000"/>
                <w:sz w:val="22"/>
                <w:szCs w:val="22"/>
              </w:rPr>
              <w:t>Compliance with Law</w:t>
            </w:r>
          </w:p>
          <w:p w14:paraId="54FC1A11" w14:textId="781D4D64" w:rsidR="00364C64" w:rsidRPr="00C8279B" w:rsidRDefault="00364C64" w:rsidP="001037B7">
            <w:pPr>
              <w:numPr>
                <w:ilvl w:val="0"/>
                <w:numId w:val="1"/>
              </w:numPr>
              <w:ind w:left="389"/>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rPr>
            </w:pPr>
            <w:r w:rsidRPr="00C8279B">
              <w:rPr>
                <w:rFonts w:eastAsia="Times New Roman" w:cs="Times New Roman"/>
                <w:color w:val="000000"/>
                <w:sz w:val="22"/>
                <w:szCs w:val="22"/>
              </w:rPr>
              <w:t>Performance of Material Contracts</w:t>
            </w:r>
          </w:p>
          <w:p w14:paraId="4AC03A7D" w14:textId="09868283" w:rsidR="001E2D6C" w:rsidRPr="00C8279B" w:rsidRDefault="00364C64" w:rsidP="001037B7">
            <w:pPr>
              <w:numPr>
                <w:ilvl w:val="0"/>
                <w:numId w:val="1"/>
              </w:numPr>
              <w:ind w:left="389"/>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rPr>
            </w:pPr>
            <w:r w:rsidRPr="00C8279B">
              <w:rPr>
                <w:rFonts w:eastAsia="Times New Roman" w:cs="Times New Roman"/>
                <w:color w:val="000000"/>
                <w:sz w:val="22"/>
                <w:szCs w:val="22"/>
              </w:rPr>
              <w:t>Maintenance of Property</w:t>
            </w:r>
            <w:r w:rsidR="001E2D6C" w:rsidRPr="00C8279B">
              <w:rPr>
                <w:rFonts w:eastAsia="Times New Roman" w:cs="Times New Roman"/>
                <w:color w:val="000000"/>
                <w:sz w:val="22"/>
                <w:szCs w:val="22"/>
              </w:rPr>
              <w:t>;</w:t>
            </w:r>
            <w:r w:rsidRPr="00C8279B">
              <w:rPr>
                <w:rFonts w:eastAsia="Times New Roman" w:cs="Times New Roman"/>
                <w:color w:val="000000"/>
                <w:sz w:val="22"/>
                <w:szCs w:val="22"/>
              </w:rPr>
              <w:t xml:space="preserve"> Insurance</w:t>
            </w:r>
          </w:p>
          <w:p w14:paraId="2C571920" w14:textId="767F8A23" w:rsidR="00364C64" w:rsidRPr="00C8279B" w:rsidRDefault="00364C64" w:rsidP="001037B7">
            <w:pPr>
              <w:numPr>
                <w:ilvl w:val="0"/>
                <w:numId w:val="1"/>
              </w:numPr>
              <w:ind w:left="389"/>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rPr>
            </w:pPr>
            <w:r w:rsidRPr="00C8279B">
              <w:rPr>
                <w:rFonts w:eastAsia="Times New Roman" w:cs="Times New Roman"/>
                <w:color w:val="000000"/>
                <w:sz w:val="22"/>
                <w:szCs w:val="22"/>
              </w:rPr>
              <w:t>Inspection of Property; Books and Records</w:t>
            </w:r>
          </w:p>
          <w:p w14:paraId="15E355D5" w14:textId="1468D01A" w:rsidR="00364C64" w:rsidRPr="00C8279B" w:rsidRDefault="00364C64" w:rsidP="001037B7">
            <w:pPr>
              <w:numPr>
                <w:ilvl w:val="0"/>
                <w:numId w:val="1"/>
              </w:numPr>
              <w:ind w:left="389"/>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rPr>
            </w:pPr>
            <w:r w:rsidRPr="00C8279B">
              <w:rPr>
                <w:rFonts w:eastAsia="Times New Roman" w:cs="Times New Roman"/>
                <w:color w:val="000000"/>
                <w:sz w:val="22"/>
                <w:szCs w:val="22"/>
              </w:rPr>
              <w:t>Environmental Laws</w:t>
            </w:r>
          </w:p>
          <w:p w14:paraId="14042062" w14:textId="6342750B" w:rsidR="00364C64" w:rsidRPr="00C8279B" w:rsidRDefault="00364C64" w:rsidP="001037B7">
            <w:pPr>
              <w:numPr>
                <w:ilvl w:val="0"/>
                <w:numId w:val="1"/>
              </w:numPr>
              <w:ind w:left="389"/>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rPr>
            </w:pPr>
            <w:r w:rsidRPr="00C8279B">
              <w:rPr>
                <w:rFonts w:eastAsia="Times New Roman" w:cs="Times New Roman"/>
                <w:color w:val="000000"/>
                <w:sz w:val="22"/>
                <w:szCs w:val="22"/>
              </w:rPr>
              <w:t>Use of P</w:t>
            </w:r>
            <w:r w:rsidR="007D481E" w:rsidRPr="00C8279B">
              <w:rPr>
                <w:rFonts w:eastAsia="Times New Roman" w:cs="Times New Roman"/>
                <w:color w:val="000000"/>
                <w:sz w:val="22"/>
                <w:szCs w:val="22"/>
              </w:rPr>
              <w:t>r</w:t>
            </w:r>
            <w:r w:rsidRPr="00C8279B">
              <w:rPr>
                <w:rFonts w:eastAsia="Times New Roman" w:cs="Times New Roman"/>
                <w:color w:val="000000"/>
                <w:sz w:val="22"/>
                <w:szCs w:val="22"/>
              </w:rPr>
              <w:t>oceeds</w:t>
            </w:r>
          </w:p>
          <w:p w14:paraId="148B1ECC" w14:textId="125AEA45" w:rsidR="007D481E" w:rsidRPr="00C8279B" w:rsidRDefault="007D481E" w:rsidP="001037B7">
            <w:pPr>
              <w:numPr>
                <w:ilvl w:val="0"/>
                <w:numId w:val="1"/>
              </w:numPr>
              <w:ind w:left="389"/>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rPr>
            </w:pPr>
            <w:r w:rsidRPr="00C8279B">
              <w:rPr>
                <w:rFonts w:eastAsia="Times New Roman" w:cs="Times New Roman"/>
                <w:color w:val="000000"/>
                <w:sz w:val="22"/>
                <w:szCs w:val="22"/>
              </w:rPr>
              <w:t>Further Assurances</w:t>
            </w:r>
          </w:p>
          <w:p w14:paraId="44DA1E00" w14:textId="4FE59E72" w:rsidR="007D481E" w:rsidRPr="00C8279B" w:rsidRDefault="007D481E" w:rsidP="001037B7">
            <w:pPr>
              <w:numPr>
                <w:ilvl w:val="0"/>
                <w:numId w:val="1"/>
              </w:numPr>
              <w:ind w:left="389"/>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rPr>
            </w:pPr>
            <w:r w:rsidRPr="00C8279B">
              <w:rPr>
                <w:rFonts w:eastAsia="Times New Roman" w:cs="Times New Roman"/>
                <w:color w:val="000000"/>
                <w:sz w:val="22"/>
                <w:szCs w:val="22"/>
              </w:rPr>
              <w:t>Limitation on Debt</w:t>
            </w:r>
          </w:p>
          <w:p w14:paraId="36FC5255" w14:textId="18F6532C" w:rsidR="007D481E" w:rsidRPr="00C8279B" w:rsidRDefault="007D481E" w:rsidP="001037B7">
            <w:pPr>
              <w:numPr>
                <w:ilvl w:val="0"/>
                <w:numId w:val="1"/>
              </w:numPr>
              <w:ind w:left="389"/>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rPr>
            </w:pPr>
            <w:r w:rsidRPr="00C8279B">
              <w:rPr>
                <w:rFonts w:eastAsia="Times New Roman" w:cs="Times New Roman"/>
                <w:color w:val="000000"/>
                <w:sz w:val="22"/>
                <w:szCs w:val="22"/>
              </w:rPr>
              <w:lastRenderedPageBreak/>
              <w:t>Limitation on Liens</w:t>
            </w:r>
          </w:p>
          <w:p w14:paraId="3CE16F8A" w14:textId="24DADF4B" w:rsidR="007D481E" w:rsidRPr="00C8279B" w:rsidRDefault="007D481E" w:rsidP="001037B7">
            <w:pPr>
              <w:numPr>
                <w:ilvl w:val="0"/>
                <w:numId w:val="1"/>
              </w:numPr>
              <w:ind w:left="389"/>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rPr>
            </w:pPr>
            <w:r w:rsidRPr="00C8279B">
              <w:rPr>
                <w:rFonts w:eastAsia="Times New Roman" w:cs="Times New Roman"/>
                <w:color w:val="000000"/>
                <w:sz w:val="22"/>
                <w:szCs w:val="22"/>
              </w:rPr>
              <w:t>Mergers; Nature of Business</w:t>
            </w:r>
          </w:p>
          <w:p w14:paraId="7BB4F6CA" w14:textId="3A110377" w:rsidR="007D481E" w:rsidRPr="00C8279B" w:rsidRDefault="007D481E" w:rsidP="001037B7">
            <w:pPr>
              <w:numPr>
                <w:ilvl w:val="0"/>
                <w:numId w:val="1"/>
              </w:numPr>
              <w:ind w:left="389"/>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rPr>
            </w:pPr>
            <w:r w:rsidRPr="00C8279B">
              <w:rPr>
                <w:rFonts w:eastAsia="Times New Roman" w:cs="Times New Roman"/>
                <w:color w:val="000000"/>
                <w:sz w:val="22"/>
                <w:szCs w:val="22"/>
              </w:rPr>
              <w:t>Limitation on Investments</w:t>
            </w:r>
          </w:p>
          <w:p w14:paraId="39BEB835" w14:textId="453142E2" w:rsidR="007D481E" w:rsidRPr="00C8279B" w:rsidRDefault="007D481E" w:rsidP="001037B7">
            <w:pPr>
              <w:numPr>
                <w:ilvl w:val="0"/>
                <w:numId w:val="1"/>
              </w:numPr>
              <w:ind w:left="389"/>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rPr>
            </w:pPr>
            <w:r w:rsidRPr="00C8279B">
              <w:rPr>
                <w:rFonts w:eastAsia="Times New Roman" w:cs="Times New Roman"/>
                <w:color w:val="000000"/>
                <w:sz w:val="22"/>
                <w:szCs w:val="22"/>
              </w:rPr>
              <w:t>Limitation on Dispositions</w:t>
            </w:r>
          </w:p>
          <w:p w14:paraId="0DDF9E9D" w14:textId="1B0565BE" w:rsidR="007D481E" w:rsidRPr="00C8279B" w:rsidRDefault="007D481E" w:rsidP="001037B7">
            <w:pPr>
              <w:numPr>
                <w:ilvl w:val="0"/>
                <w:numId w:val="1"/>
              </w:numPr>
              <w:ind w:left="389"/>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rPr>
            </w:pPr>
            <w:r w:rsidRPr="00C8279B">
              <w:rPr>
                <w:rFonts w:eastAsia="Times New Roman" w:cs="Times New Roman"/>
                <w:color w:val="000000"/>
                <w:sz w:val="22"/>
                <w:szCs w:val="22"/>
              </w:rPr>
              <w:t>Limitation on Sales and Leasebacks</w:t>
            </w:r>
          </w:p>
          <w:p w14:paraId="391CF5B4" w14:textId="0F69DFE1" w:rsidR="007D481E" w:rsidRPr="00C8279B" w:rsidRDefault="007D481E" w:rsidP="001037B7">
            <w:pPr>
              <w:numPr>
                <w:ilvl w:val="0"/>
                <w:numId w:val="1"/>
              </w:numPr>
              <w:ind w:left="389"/>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rPr>
            </w:pPr>
            <w:r w:rsidRPr="00C8279B">
              <w:rPr>
                <w:rFonts w:eastAsia="Times New Roman" w:cs="Times New Roman"/>
                <w:color w:val="000000"/>
                <w:sz w:val="22"/>
                <w:szCs w:val="22"/>
              </w:rPr>
              <w:t>Limitation on Restricted Payments</w:t>
            </w:r>
          </w:p>
          <w:p w14:paraId="6BBE6BBD" w14:textId="4EF343D0" w:rsidR="007D481E" w:rsidRPr="00C8279B" w:rsidRDefault="007D481E" w:rsidP="001037B7">
            <w:pPr>
              <w:numPr>
                <w:ilvl w:val="0"/>
                <w:numId w:val="1"/>
              </w:numPr>
              <w:ind w:left="389"/>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rPr>
            </w:pPr>
            <w:r w:rsidRPr="00C8279B">
              <w:rPr>
                <w:rFonts w:eastAsia="Times New Roman" w:cs="Times New Roman"/>
                <w:color w:val="000000"/>
                <w:sz w:val="22"/>
                <w:szCs w:val="22"/>
              </w:rPr>
              <w:t>[Limitation on Prepayments of Debt and Amendments of Debt Instruments]</w:t>
            </w:r>
          </w:p>
          <w:p w14:paraId="33F99BAD" w14:textId="21FEA5F8" w:rsidR="007D481E" w:rsidRPr="00C8279B" w:rsidRDefault="007D481E" w:rsidP="001037B7">
            <w:pPr>
              <w:numPr>
                <w:ilvl w:val="0"/>
                <w:numId w:val="1"/>
              </w:numPr>
              <w:ind w:left="389"/>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rPr>
            </w:pPr>
            <w:r w:rsidRPr="00C8279B">
              <w:rPr>
                <w:rFonts w:eastAsia="Times New Roman" w:cs="Times New Roman"/>
                <w:color w:val="000000"/>
                <w:sz w:val="22"/>
                <w:szCs w:val="22"/>
              </w:rPr>
              <w:t>Limitation on Transactions with Affiliates</w:t>
            </w:r>
          </w:p>
          <w:p w14:paraId="4131F036" w14:textId="2764D7F3" w:rsidR="007D481E" w:rsidRPr="00C8279B" w:rsidRDefault="007D481E" w:rsidP="001037B7">
            <w:pPr>
              <w:numPr>
                <w:ilvl w:val="0"/>
                <w:numId w:val="1"/>
              </w:numPr>
              <w:ind w:left="389"/>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rPr>
            </w:pPr>
            <w:r w:rsidRPr="00C8279B">
              <w:rPr>
                <w:rFonts w:eastAsia="Times New Roman" w:cs="Times New Roman"/>
                <w:color w:val="000000"/>
                <w:sz w:val="22"/>
                <w:szCs w:val="22"/>
              </w:rPr>
              <w:t>Limitation on Restrictive Agreements</w:t>
            </w:r>
          </w:p>
          <w:p w14:paraId="1FFD9BD8" w14:textId="0D60C0C3" w:rsidR="007D481E" w:rsidRPr="00C8279B" w:rsidRDefault="007D481E" w:rsidP="001037B7">
            <w:pPr>
              <w:numPr>
                <w:ilvl w:val="0"/>
                <w:numId w:val="1"/>
              </w:numPr>
              <w:ind w:left="389"/>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rPr>
            </w:pPr>
            <w:r w:rsidRPr="00C8279B">
              <w:rPr>
                <w:rFonts w:eastAsia="Times New Roman" w:cs="Times New Roman"/>
                <w:color w:val="000000"/>
                <w:sz w:val="22"/>
                <w:szCs w:val="22"/>
              </w:rPr>
              <w:t>Limitation on Amendments of Material Contracts</w:t>
            </w:r>
          </w:p>
          <w:p w14:paraId="00000032" w14:textId="0EC1760F" w:rsidR="001E2D6C" w:rsidRPr="00C8279B" w:rsidRDefault="0064167F" w:rsidP="001037B7">
            <w:pPr>
              <w:numPr>
                <w:ilvl w:val="0"/>
                <w:numId w:val="1"/>
              </w:numPr>
              <w:ind w:left="389"/>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C8279B">
              <w:rPr>
                <w:rFonts w:eastAsia="Times New Roman" w:cs="Times New Roman"/>
                <w:color w:val="000000"/>
                <w:sz w:val="22"/>
                <w:szCs w:val="22"/>
              </w:rPr>
              <w:t>[</w:t>
            </w:r>
            <w:r w:rsidR="001E2D6C" w:rsidRPr="00C8279B">
              <w:rPr>
                <w:rFonts w:eastAsia="Times New Roman" w:cs="Times New Roman"/>
                <w:color w:val="000000"/>
                <w:sz w:val="22"/>
                <w:szCs w:val="22"/>
              </w:rPr>
              <w:t>Financial covenants to be determined.</w:t>
            </w:r>
            <w:r w:rsidRPr="00C8279B">
              <w:rPr>
                <w:rFonts w:eastAsia="Times New Roman" w:cs="Times New Roman"/>
                <w:color w:val="000000"/>
                <w:sz w:val="22"/>
                <w:szCs w:val="22"/>
              </w:rPr>
              <w:t>]</w:t>
            </w:r>
            <w:r w:rsidRPr="00C8279B">
              <w:rPr>
                <w:rStyle w:val="FootnoteReference"/>
                <w:rFonts w:eastAsia="Times New Roman" w:cs="Times New Roman"/>
                <w:color w:val="000000"/>
                <w:sz w:val="22"/>
                <w:szCs w:val="22"/>
              </w:rPr>
              <w:footnoteReference w:id="15"/>
            </w:r>
          </w:p>
        </w:tc>
      </w:tr>
      <w:tr w:rsidR="00484CA2" w:rsidRPr="00C8279B" w14:paraId="036C010E" w14:textId="77777777" w:rsidTr="0048466A">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2B662380" w14:textId="1DF72FCC" w:rsidR="004241DA" w:rsidRPr="00C8279B" w:rsidRDefault="004241DA" w:rsidP="001037B7">
            <w:pPr>
              <w:spacing w:before="120" w:after="120"/>
              <w:rPr>
                <w:rFonts w:eastAsia="Times New Roman" w:cs="Times New Roman"/>
                <w:sz w:val="22"/>
                <w:szCs w:val="22"/>
              </w:rPr>
            </w:pPr>
            <w:r w:rsidRPr="00C8279B">
              <w:rPr>
                <w:rFonts w:eastAsia="Times New Roman" w:cs="Times New Roman"/>
                <w:sz w:val="22"/>
                <w:szCs w:val="22"/>
              </w:rPr>
              <w:lastRenderedPageBreak/>
              <w:t>Events of Default</w:t>
            </w:r>
            <w:r w:rsidR="00BE08CC" w:rsidRPr="00C8279B">
              <w:rPr>
                <w:rStyle w:val="FootnoteReference"/>
                <w:rFonts w:eastAsia="Times New Roman" w:cs="Times New Roman"/>
                <w:sz w:val="22"/>
                <w:szCs w:val="22"/>
              </w:rPr>
              <w:footnoteReference w:id="16"/>
            </w:r>
          </w:p>
        </w:tc>
        <w:tc>
          <w:tcPr>
            <w:tcW w:w="8280" w:type="dxa"/>
            <w:shd w:val="clear" w:color="auto" w:fill="auto"/>
          </w:tcPr>
          <w:p w14:paraId="3F8D0B61" w14:textId="2B5692D5" w:rsidR="004241DA" w:rsidRPr="00C8279B" w:rsidRDefault="004241DA" w:rsidP="001037B7">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rPr>
            </w:pPr>
            <w:r w:rsidRPr="00C8279B">
              <w:rPr>
                <w:rFonts w:eastAsia="Times New Roman" w:cs="Times New Roman"/>
                <w:sz w:val="22"/>
                <w:szCs w:val="22"/>
              </w:rPr>
              <w:t>Events of default as are usual and customary for facilities of this kind, including without limitation:</w:t>
            </w:r>
          </w:p>
          <w:p w14:paraId="20FA5724" w14:textId="01639D23" w:rsidR="004241DA" w:rsidRPr="00C8279B" w:rsidRDefault="004241DA" w:rsidP="001037B7">
            <w:pPr>
              <w:pStyle w:val="ListNumber4"/>
              <w:numPr>
                <w:ilvl w:val="0"/>
                <w:numId w:val="7"/>
              </w:num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8279B">
              <w:rPr>
                <w:rFonts w:ascii="Times New Roman" w:eastAsia="Times New Roman" w:hAnsi="Times New Roman" w:cs="Times New Roman"/>
                <w:color w:val="000000"/>
              </w:rPr>
              <w:t>Failure to make [Insert Number of Payments] payment(s)</w:t>
            </w:r>
            <w:r w:rsidR="00A0739C" w:rsidRPr="00C8279B">
              <w:rPr>
                <w:rStyle w:val="FootnoteReference"/>
                <w:rFonts w:eastAsia="Times New Roman" w:cs="Times New Roman"/>
                <w:color w:val="000000"/>
              </w:rPr>
              <w:footnoteReference w:id="17"/>
            </w:r>
            <w:r w:rsidRPr="00C8279B">
              <w:rPr>
                <w:rFonts w:ascii="Times New Roman" w:eastAsia="Times New Roman" w:hAnsi="Times New Roman" w:cs="Times New Roman"/>
                <w:color w:val="000000"/>
              </w:rPr>
              <w:t xml:space="preserve"> </w:t>
            </w:r>
          </w:p>
          <w:p w14:paraId="3EEDBDD2" w14:textId="658FF1E6" w:rsidR="004241DA" w:rsidRPr="00C8279B" w:rsidRDefault="004241DA" w:rsidP="001037B7">
            <w:pPr>
              <w:pStyle w:val="ListNumber4"/>
              <w:numPr>
                <w:ilvl w:val="0"/>
                <w:numId w:val="7"/>
              </w:num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8279B">
              <w:rPr>
                <w:rFonts w:ascii="Times New Roman" w:eastAsia="Times New Roman" w:hAnsi="Times New Roman" w:cs="Times New Roman"/>
                <w:color w:val="000000"/>
              </w:rPr>
              <w:t>Failure to repay the RBL Obligation by the Maturity Date</w:t>
            </w:r>
          </w:p>
          <w:p w14:paraId="4197EE8A" w14:textId="5E3FE882" w:rsidR="004241DA" w:rsidRPr="00C8279B" w:rsidRDefault="004241DA" w:rsidP="001037B7">
            <w:pPr>
              <w:numPr>
                <w:ilvl w:val="0"/>
                <w:numId w:val="1"/>
              </w:num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r w:rsidRPr="00C8279B">
              <w:rPr>
                <w:rFonts w:eastAsia="Times New Roman" w:cs="Times New Roman"/>
                <w:color w:val="000000"/>
                <w:sz w:val="22"/>
                <w:szCs w:val="22"/>
              </w:rPr>
              <w:t>Representations and warranties untrue in any material respect</w:t>
            </w:r>
          </w:p>
          <w:p w14:paraId="7CA70862" w14:textId="54C7B45E" w:rsidR="004241DA" w:rsidRPr="00C8279B" w:rsidRDefault="004241DA" w:rsidP="001037B7">
            <w:pPr>
              <w:numPr>
                <w:ilvl w:val="0"/>
                <w:numId w:val="1"/>
              </w:num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r w:rsidRPr="00C8279B">
              <w:rPr>
                <w:rFonts w:eastAsia="Times New Roman" w:cs="Times New Roman"/>
                <w:color w:val="000000"/>
                <w:sz w:val="22"/>
                <w:szCs w:val="22"/>
              </w:rPr>
              <w:t>Failure to comply with covenants</w:t>
            </w:r>
          </w:p>
          <w:p w14:paraId="2EF99927" w14:textId="0C5F5EA1" w:rsidR="004241DA" w:rsidRPr="00C8279B" w:rsidRDefault="004241DA" w:rsidP="001037B7">
            <w:pPr>
              <w:numPr>
                <w:ilvl w:val="0"/>
                <w:numId w:val="1"/>
              </w:num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r w:rsidRPr="00C8279B">
              <w:rPr>
                <w:rFonts w:eastAsia="Times New Roman" w:cs="Times New Roman"/>
                <w:color w:val="000000"/>
                <w:sz w:val="22"/>
                <w:szCs w:val="22"/>
              </w:rPr>
              <w:t>Bankruptcy or insolvency</w:t>
            </w:r>
          </w:p>
          <w:p w14:paraId="38754941" w14:textId="41BE1038" w:rsidR="004241DA" w:rsidRPr="00C8279B" w:rsidRDefault="004241DA" w:rsidP="001037B7">
            <w:pPr>
              <w:numPr>
                <w:ilvl w:val="0"/>
                <w:numId w:val="1"/>
              </w:num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r w:rsidRPr="00C8279B">
              <w:rPr>
                <w:rFonts w:eastAsia="Times New Roman" w:cs="Times New Roman"/>
                <w:color w:val="000000"/>
                <w:sz w:val="22"/>
                <w:szCs w:val="22"/>
              </w:rPr>
              <w:t>Unsatisfied judgments</w:t>
            </w:r>
          </w:p>
          <w:p w14:paraId="06882586" w14:textId="338103FE" w:rsidR="004241DA" w:rsidRPr="00C8279B" w:rsidRDefault="004241DA" w:rsidP="001037B7">
            <w:pPr>
              <w:numPr>
                <w:ilvl w:val="0"/>
                <w:numId w:val="1"/>
              </w:numPr>
              <w:ind w:left="389"/>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r w:rsidRPr="00C8279B">
              <w:rPr>
                <w:rFonts w:eastAsia="Times New Roman" w:cs="Times New Roman"/>
                <w:color w:val="000000"/>
                <w:sz w:val="22"/>
                <w:szCs w:val="22"/>
              </w:rPr>
              <w:t>Cross-default and cross-acceleration for material debt</w:t>
            </w:r>
          </w:p>
          <w:p w14:paraId="3014302A" w14:textId="3ED4FC8E" w:rsidR="004241DA" w:rsidRPr="00C8279B" w:rsidRDefault="004241DA" w:rsidP="001037B7">
            <w:pPr>
              <w:numPr>
                <w:ilvl w:val="0"/>
                <w:numId w:val="1"/>
              </w:numPr>
              <w:ind w:left="389"/>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rPr>
            </w:pPr>
            <w:r w:rsidRPr="00C8279B">
              <w:rPr>
                <w:rFonts w:eastAsia="Times New Roman" w:cs="Times New Roman"/>
                <w:color w:val="000000"/>
                <w:sz w:val="22"/>
                <w:szCs w:val="22"/>
              </w:rPr>
              <w:t>Change of Control/Key personnel</w:t>
            </w:r>
          </w:p>
          <w:p w14:paraId="3FBE5267" w14:textId="40B4DE13" w:rsidR="004241DA" w:rsidRPr="006362E0" w:rsidRDefault="004241DA" w:rsidP="001037B7">
            <w:pPr>
              <w:numPr>
                <w:ilvl w:val="0"/>
                <w:numId w:val="1"/>
              </w:numPr>
              <w:spacing w:after="120"/>
              <w:ind w:left="389"/>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rPr>
            </w:pPr>
            <w:r w:rsidRPr="00C8279B">
              <w:rPr>
                <w:rFonts w:eastAsia="Times New Roman" w:cs="Times New Roman"/>
                <w:color w:val="000000"/>
                <w:sz w:val="22"/>
                <w:szCs w:val="22"/>
              </w:rPr>
              <w:t>Material Adverse Effect</w:t>
            </w:r>
          </w:p>
        </w:tc>
      </w:tr>
      <w:tr w:rsidR="009910FA" w:rsidRPr="00C8279B" w14:paraId="36D5DECD" w14:textId="77777777" w:rsidTr="0048466A">
        <w:trPr>
          <w:trHeight w:val="458"/>
        </w:trPr>
        <w:tc>
          <w:tcPr>
            <w:tcW w:w="2160" w:type="dxa"/>
            <w:shd w:val="clear" w:color="auto" w:fill="auto"/>
          </w:tcPr>
          <w:p w14:paraId="201FD8D8" w14:textId="28D61773" w:rsidR="009910FA" w:rsidRPr="00C8279B" w:rsidRDefault="009910FA" w:rsidP="001037B7">
            <w:pPr>
              <w:spacing w:before="120" w:after="120"/>
              <w:cnfStyle w:val="001000000000" w:firstRow="0" w:lastRow="0" w:firstColumn="1" w:lastColumn="0" w:oddVBand="0" w:evenVBand="0" w:oddHBand="0" w:evenHBand="0" w:firstRowFirstColumn="0" w:firstRowLastColumn="0" w:lastRowFirstColumn="0" w:lastRowLastColumn="0"/>
              <w:rPr>
                <w:rFonts w:eastAsia="Times New Roman" w:cs="Times New Roman"/>
                <w:sz w:val="22"/>
                <w:szCs w:val="22"/>
              </w:rPr>
            </w:pPr>
            <w:r w:rsidRPr="00C8279B">
              <w:rPr>
                <w:rFonts w:eastAsia="Times New Roman" w:cs="Times New Roman"/>
                <w:sz w:val="22"/>
                <w:szCs w:val="22"/>
              </w:rPr>
              <w:t>Economic Agreement and Usury Protection</w:t>
            </w:r>
          </w:p>
        </w:tc>
        <w:tc>
          <w:tcPr>
            <w:tcW w:w="8280" w:type="dxa"/>
            <w:shd w:val="clear" w:color="auto" w:fill="auto"/>
          </w:tcPr>
          <w:p w14:paraId="3E03E786" w14:textId="5D4CC718" w:rsidR="009910FA" w:rsidRPr="00C8279B" w:rsidRDefault="000D61F6" w:rsidP="001037B7">
            <w:pPr>
              <w:spacing w:before="120" w:after="120"/>
              <w:rPr>
                <w:rFonts w:eastAsia="Times New Roman" w:cs="Times New Roman"/>
                <w:sz w:val="22"/>
                <w:szCs w:val="22"/>
              </w:rPr>
            </w:pPr>
            <w:r w:rsidRPr="00C8279B">
              <w:rPr>
                <w:rFonts w:eastAsia="Times New Roman" w:cs="Times New Roman"/>
                <w:sz w:val="22"/>
                <w:szCs w:val="22"/>
              </w:rPr>
              <w:t>Typical severability and interest rate limitation provisions.</w:t>
            </w:r>
            <w:r w:rsidRPr="00C8279B">
              <w:rPr>
                <w:rStyle w:val="FootnoteReference"/>
                <w:rFonts w:eastAsia="Times New Roman" w:cs="Times New Roman"/>
                <w:sz w:val="22"/>
                <w:szCs w:val="22"/>
              </w:rPr>
              <w:footnoteReference w:id="18"/>
            </w:r>
            <w:r w:rsidRPr="00C8279B">
              <w:rPr>
                <w:rFonts w:eastAsia="Times New Roman" w:cs="Times New Roman"/>
                <w:sz w:val="22"/>
                <w:szCs w:val="22"/>
              </w:rPr>
              <w:t xml:space="preserve"> </w:t>
            </w:r>
          </w:p>
        </w:tc>
      </w:tr>
      <w:tr w:rsidR="00257824" w:rsidRPr="00C8279B" w14:paraId="2CC931DF" w14:textId="77777777" w:rsidTr="0048466A">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0BF7CAC0" w14:textId="77777777" w:rsidR="00257824" w:rsidRPr="00C8279B" w:rsidRDefault="00257824" w:rsidP="001037B7">
            <w:pPr>
              <w:spacing w:before="120" w:after="120"/>
              <w:rPr>
                <w:rFonts w:eastAsia="Times New Roman" w:cs="Times New Roman"/>
                <w:sz w:val="22"/>
                <w:szCs w:val="22"/>
              </w:rPr>
            </w:pPr>
            <w:r w:rsidRPr="00C8279B">
              <w:rPr>
                <w:rFonts w:eastAsia="Times New Roman" w:cs="Times New Roman"/>
                <w:sz w:val="22"/>
                <w:szCs w:val="22"/>
              </w:rPr>
              <w:lastRenderedPageBreak/>
              <w:t>Assignments/ Participations</w:t>
            </w:r>
          </w:p>
        </w:tc>
        <w:tc>
          <w:tcPr>
            <w:tcW w:w="8280" w:type="dxa"/>
            <w:shd w:val="clear" w:color="auto" w:fill="auto"/>
          </w:tcPr>
          <w:p w14:paraId="3C29DB27" w14:textId="1FA2CE99" w:rsidR="00257824" w:rsidRPr="00C8279B" w:rsidRDefault="00257824" w:rsidP="001037B7">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rPr>
            </w:pPr>
            <w:r w:rsidRPr="00C8279B">
              <w:rPr>
                <w:rFonts w:eastAsia="Times New Roman" w:cs="Times New Roman"/>
                <w:sz w:val="22"/>
                <w:szCs w:val="22"/>
              </w:rPr>
              <w:t>Lender may Assign or Participate the Facility upon written notice to Company; Company may not assign obligations under the loan without Lender’s consent, in its sole discretion.</w:t>
            </w:r>
            <w:r w:rsidR="006B48CA" w:rsidRPr="00C8279B">
              <w:rPr>
                <w:rStyle w:val="FootnoteReference"/>
                <w:rFonts w:eastAsia="Times New Roman" w:cs="Times New Roman"/>
                <w:sz w:val="22"/>
                <w:szCs w:val="22"/>
              </w:rPr>
              <w:footnoteReference w:id="19"/>
            </w:r>
          </w:p>
        </w:tc>
      </w:tr>
      <w:tr w:rsidR="006540C0" w:rsidRPr="00C8279B" w14:paraId="36BD530E" w14:textId="77777777" w:rsidTr="0048466A">
        <w:trPr>
          <w:trHeight w:val="458"/>
        </w:trPr>
        <w:tc>
          <w:tcPr>
            <w:tcW w:w="2160" w:type="dxa"/>
            <w:shd w:val="clear" w:color="auto" w:fill="auto"/>
          </w:tcPr>
          <w:p w14:paraId="4C48158A" w14:textId="2EDADFFD" w:rsidR="001E2D6C" w:rsidRPr="00C8279B" w:rsidRDefault="00257824" w:rsidP="001037B7">
            <w:pPr>
              <w:spacing w:before="120" w:after="120"/>
              <w:cnfStyle w:val="001000000000" w:firstRow="0" w:lastRow="0" w:firstColumn="1" w:lastColumn="0" w:oddVBand="0" w:evenVBand="0" w:oddHBand="0" w:evenHBand="0" w:firstRowFirstColumn="0" w:firstRowLastColumn="0" w:lastRowFirstColumn="0" w:lastRowLastColumn="0"/>
              <w:rPr>
                <w:rFonts w:eastAsia="Times New Roman" w:cs="Times New Roman"/>
                <w:sz w:val="22"/>
                <w:szCs w:val="22"/>
              </w:rPr>
            </w:pPr>
            <w:r w:rsidRPr="00C8279B">
              <w:rPr>
                <w:rFonts w:eastAsia="Times New Roman" w:cs="Times New Roman"/>
                <w:sz w:val="22"/>
                <w:szCs w:val="22"/>
              </w:rPr>
              <w:t>Governing Law</w:t>
            </w:r>
          </w:p>
        </w:tc>
        <w:tc>
          <w:tcPr>
            <w:tcW w:w="8280" w:type="dxa"/>
            <w:shd w:val="clear" w:color="auto" w:fill="auto"/>
          </w:tcPr>
          <w:p w14:paraId="046F23CE" w14:textId="62FB8412" w:rsidR="001E2D6C" w:rsidRPr="00C8279B" w:rsidRDefault="00257824" w:rsidP="001037B7">
            <w:pPr>
              <w:spacing w:before="120" w:after="120"/>
              <w:rPr>
                <w:rFonts w:eastAsia="Times New Roman" w:cs="Times New Roman"/>
                <w:sz w:val="22"/>
                <w:szCs w:val="22"/>
              </w:rPr>
            </w:pPr>
            <w:r w:rsidRPr="00C8279B">
              <w:rPr>
                <w:rFonts w:eastAsia="Times New Roman" w:cs="Times New Roman"/>
                <w:sz w:val="22"/>
                <w:szCs w:val="22"/>
              </w:rPr>
              <w:t>[</w:t>
            </w:r>
            <w:r w:rsidR="00164950" w:rsidRPr="00C8279B">
              <w:rPr>
                <w:rFonts w:eastAsia="Times New Roman" w:cs="Times New Roman"/>
                <w:sz w:val="22"/>
                <w:szCs w:val="22"/>
              </w:rPr>
              <w:t xml:space="preserve">Lender’s preferred </w:t>
            </w:r>
            <w:r w:rsidR="00087318" w:rsidRPr="00C8279B">
              <w:rPr>
                <w:rFonts w:eastAsia="Times New Roman" w:cs="Times New Roman"/>
                <w:sz w:val="22"/>
                <w:szCs w:val="22"/>
              </w:rPr>
              <w:t>j</w:t>
            </w:r>
            <w:r w:rsidRPr="00C8279B">
              <w:rPr>
                <w:rFonts w:eastAsia="Times New Roman" w:cs="Times New Roman"/>
                <w:sz w:val="22"/>
                <w:szCs w:val="22"/>
              </w:rPr>
              <w:t>urisdiction]</w:t>
            </w:r>
            <w:r w:rsidR="00413A33" w:rsidRPr="00C8279B">
              <w:rPr>
                <w:rStyle w:val="FootnoteReference"/>
                <w:rFonts w:eastAsia="Times New Roman" w:cs="Times New Roman"/>
                <w:sz w:val="22"/>
                <w:szCs w:val="22"/>
              </w:rPr>
              <w:footnoteReference w:id="20"/>
            </w:r>
          </w:p>
        </w:tc>
      </w:tr>
      <w:tr w:rsidR="00CD66F9" w:rsidRPr="00C8279B" w14:paraId="25ADA276" w14:textId="77777777" w:rsidTr="0048466A">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3B12CCAB" w14:textId="631D40F9" w:rsidR="00CD66F9" w:rsidRPr="00C8279B" w:rsidRDefault="00CD66F9" w:rsidP="001037B7">
            <w:pPr>
              <w:spacing w:before="120" w:after="120"/>
              <w:rPr>
                <w:rFonts w:eastAsia="Times New Roman" w:cs="Times New Roman"/>
                <w:sz w:val="22"/>
                <w:szCs w:val="22"/>
              </w:rPr>
            </w:pPr>
            <w:r w:rsidRPr="00C8279B">
              <w:rPr>
                <w:rFonts w:cs="Times New Roman"/>
                <w:sz w:val="22"/>
                <w:szCs w:val="22"/>
              </w:rPr>
              <w:t>Confidentiality</w:t>
            </w:r>
          </w:p>
        </w:tc>
        <w:tc>
          <w:tcPr>
            <w:tcW w:w="8280" w:type="dxa"/>
            <w:shd w:val="clear" w:color="auto" w:fill="auto"/>
          </w:tcPr>
          <w:p w14:paraId="5B429DD4" w14:textId="76907CC2" w:rsidR="00CD66F9" w:rsidRPr="00C8279B" w:rsidRDefault="00CD66F9" w:rsidP="001037B7">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rPr>
            </w:pPr>
            <w:r w:rsidRPr="00C8279B">
              <w:rPr>
                <w:rFonts w:cs="Times New Roman"/>
                <w:sz w:val="22"/>
                <w:szCs w:val="22"/>
              </w:rPr>
              <w:t>The Company will hold this term sheet in strict confidence. This is a binding term.</w:t>
            </w:r>
          </w:p>
        </w:tc>
      </w:tr>
      <w:tr w:rsidR="00CD66F9" w:rsidRPr="00C8279B" w14:paraId="3C881267" w14:textId="77777777" w:rsidTr="0048466A">
        <w:trPr>
          <w:trHeight w:val="458"/>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1D7DB1AE" w14:textId="7CCBEEBC" w:rsidR="00CD66F9" w:rsidRPr="00C8279B" w:rsidRDefault="00CD66F9" w:rsidP="001037B7">
            <w:pPr>
              <w:spacing w:before="120" w:after="120"/>
              <w:rPr>
                <w:rFonts w:eastAsia="Times New Roman" w:cs="Times New Roman"/>
                <w:sz w:val="22"/>
                <w:szCs w:val="22"/>
              </w:rPr>
            </w:pPr>
            <w:r w:rsidRPr="00C8279B">
              <w:rPr>
                <w:rFonts w:eastAsia="Times New Roman" w:cs="Times New Roman"/>
                <w:sz w:val="22"/>
                <w:szCs w:val="22"/>
              </w:rPr>
              <w:t>No-Shop</w:t>
            </w:r>
          </w:p>
        </w:tc>
        <w:tc>
          <w:tcPr>
            <w:tcW w:w="8280" w:type="dxa"/>
            <w:shd w:val="clear" w:color="auto" w:fill="auto"/>
          </w:tcPr>
          <w:p w14:paraId="7A161748" w14:textId="60500C62" w:rsidR="00CD66F9" w:rsidRPr="00C8279B" w:rsidRDefault="00CD66F9" w:rsidP="001037B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C8279B">
              <w:rPr>
                <w:rFonts w:cs="Times New Roman"/>
                <w:sz w:val="22"/>
                <w:szCs w:val="22"/>
              </w:rPr>
              <w:t xml:space="preserve">The Company </w:t>
            </w:r>
            <w:r w:rsidR="00E35B9F" w:rsidRPr="00C8279B">
              <w:rPr>
                <w:rFonts w:cs="Times New Roman"/>
                <w:sz w:val="22"/>
                <w:szCs w:val="22"/>
              </w:rPr>
              <w:t xml:space="preserve">and Lender </w:t>
            </w:r>
            <w:r w:rsidRPr="00C8279B">
              <w:rPr>
                <w:rFonts w:cs="Times New Roman"/>
                <w:sz w:val="22"/>
                <w:szCs w:val="22"/>
              </w:rPr>
              <w:t>agree to work in good faith expeditiously towards a closing.  The Company agrees that it will not, for a period of [30 days] from the date these terms are accepted, solicit additional financing or investment without Lender’s consent unless Lender terminates discussions to provide the financing prior to the end of such period.</w:t>
            </w:r>
          </w:p>
        </w:tc>
      </w:tr>
      <w:tr w:rsidR="00CD66F9" w:rsidRPr="00C8279B" w14:paraId="610D1571" w14:textId="77777777" w:rsidTr="0048466A">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0440" w:type="dxa"/>
            <w:gridSpan w:val="2"/>
            <w:shd w:val="clear" w:color="auto" w:fill="auto"/>
          </w:tcPr>
          <w:p w14:paraId="7530828B" w14:textId="09289524" w:rsidR="00CD66F9" w:rsidRPr="00C8279B" w:rsidRDefault="00CD66F9" w:rsidP="001037B7">
            <w:pPr>
              <w:spacing w:before="120" w:after="120"/>
              <w:rPr>
                <w:rFonts w:eastAsia="Times New Roman" w:cs="Times New Roman"/>
                <w:sz w:val="22"/>
                <w:szCs w:val="22"/>
              </w:rPr>
            </w:pPr>
            <w:r w:rsidRPr="00C8279B">
              <w:rPr>
                <w:rFonts w:eastAsia="Times New Roman" w:cs="Times New Roman"/>
                <w:sz w:val="22"/>
                <w:szCs w:val="22"/>
              </w:rPr>
              <w:t>Optional Terms</w:t>
            </w:r>
          </w:p>
        </w:tc>
      </w:tr>
      <w:tr w:rsidR="00CD66F9" w:rsidRPr="00C8279B" w14:paraId="1CB9F3F9" w14:textId="77777777" w:rsidTr="0048466A">
        <w:trPr>
          <w:trHeight w:val="530"/>
        </w:trPr>
        <w:tc>
          <w:tcPr>
            <w:tcW w:w="2160" w:type="dxa"/>
            <w:shd w:val="clear" w:color="auto" w:fill="auto"/>
          </w:tcPr>
          <w:p w14:paraId="2849CD36" w14:textId="7EC1B7A8" w:rsidR="00CD66F9" w:rsidRPr="00C8279B" w:rsidRDefault="00CD66F9" w:rsidP="001037B7">
            <w:pPr>
              <w:spacing w:before="120" w:after="120"/>
              <w:cnfStyle w:val="001000000000" w:firstRow="0" w:lastRow="0" w:firstColumn="1" w:lastColumn="0" w:oddVBand="0" w:evenVBand="0" w:oddHBand="0" w:evenHBand="0" w:firstRowFirstColumn="0" w:firstRowLastColumn="0" w:lastRowFirstColumn="0" w:lastRowLastColumn="0"/>
              <w:rPr>
                <w:rFonts w:eastAsia="Times New Roman" w:cs="Times New Roman"/>
                <w:sz w:val="22"/>
                <w:szCs w:val="22"/>
              </w:rPr>
            </w:pPr>
            <w:r w:rsidRPr="00C8279B">
              <w:rPr>
                <w:rFonts w:eastAsia="Times New Roman" w:cs="Times New Roman"/>
                <w:sz w:val="22"/>
                <w:szCs w:val="22"/>
              </w:rPr>
              <w:t>Maturity Extension</w:t>
            </w:r>
          </w:p>
        </w:tc>
        <w:tc>
          <w:tcPr>
            <w:tcW w:w="8280" w:type="dxa"/>
            <w:shd w:val="clear" w:color="auto" w:fill="auto"/>
          </w:tcPr>
          <w:p w14:paraId="32525CAC" w14:textId="77777777" w:rsidR="00CD66F9" w:rsidRPr="00C8279B" w:rsidRDefault="00CD66F9" w:rsidP="001037B7">
            <w:pPr>
              <w:spacing w:before="120" w:after="120"/>
              <w:rPr>
                <w:rFonts w:eastAsia="Times New Roman" w:cs="Times New Roman"/>
                <w:sz w:val="22"/>
                <w:szCs w:val="22"/>
              </w:rPr>
            </w:pPr>
            <w:r w:rsidRPr="00C8279B">
              <w:rPr>
                <w:rFonts w:eastAsia="Times New Roman" w:cs="Times New Roman"/>
                <w:sz w:val="22"/>
                <w:szCs w:val="22"/>
              </w:rPr>
              <w:t>If the RBL Obligation is not fulfilled by the Maturity Date, the parties may mutually agree to automatically extend the Maturity Date.</w:t>
            </w:r>
            <w:r w:rsidRPr="00C8279B">
              <w:rPr>
                <w:rStyle w:val="FootnoteReference"/>
                <w:rFonts w:eastAsia="Times New Roman" w:cs="Times New Roman"/>
                <w:sz w:val="22"/>
                <w:szCs w:val="22"/>
              </w:rPr>
              <w:footnoteReference w:id="21"/>
            </w:r>
          </w:p>
        </w:tc>
      </w:tr>
      <w:tr w:rsidR="00CD66F9" w:rsidRPr="00C8279B" w14:paraId="00DC588A" w14:textId="77777777" w:rsidTr="0048466A">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24D167DB" w14:textId="196BA1C4" w:rsidR="00CD66F9" w:rsidRPr="00C8279B" w:rsidRDefault="00CD66F9" w:rsidP="001037B7">
            <w:pPr>
              <w:spacing w:before="120" w:after="120"/>
              <w:rPr>
                <w:rFonts w:eastAsia="Times New Roman" w:cs="Times New Roman"/>
                <w:sz w:val="22"/>
                <w:szCs w:val="22"/>
              </w:rPr>
            </w:pPr>
            <w:r w:rsidRPr="00C8279B">
              <w:rPr>
                <w:rFonts w:eastAsia="Times New Roman" w:cs="Times New Roman"/>
                <w:sz w:val="22"/>
                <w:szCs w:val="22"/>
              </w:rPr>
              <w:t>RBL Obligation Adjustments</w:t>
            </w:r>
          </w:p>
        </w:tc>
        <w:tc>
          <w:tcPr>
            <w:tcW w:w="8280" w:type="dxa"/>
            <w:shd w:val="clear" w:color="auto" w:fill="auto"/>
          </w:tcPr>
          <w:p w14:paraId="108A1294" w14:textId="77777777" w:rsidR="00CD66F9" w:rsidRPr="00C8279B" w:rsidRDefault="00CD66F9" w:rsidP="001037B7">
            <w:pPr>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rPr>
            </w:pPr>
          </w:p>
          <w:p w14:paraId="1BF77F53" w14:textId="11285361" w:rsidR="00CD66F9" w:rsidRPr="00C8279B" w:rsidRDefault="00B96364" w:rsidP="001037B7">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rPr>
            </w:pPr>
            <w:r w:rsidRPr="00C8279B">
              <w:rPr>
                <w:rFonts w:eastAsia="Times New Roman" w:cs="Times New Roman"/>
                <w:sz w:val="22"/>
                <w:szCs w:val="22"/>
              </w:rPr>
              <w:t>If the Company meets the RBL Obligation prior to the Maturity Date, the RBL Obligation shall be adjusted as follows: Prior to the 4</w:t>
            </w:r>
            <w:r w:rsidRPr="00C8279B">
              <w:rPr>
                <w:rFonts w:eastAsia="Times New Roman" w:cs="Times New Roman"/>
                <w:sz w:val="22"/>
                <w:szCs w:val="22"/>
                <w:vertAlign w:val="superscript"/>
              </w:rPr>
              <w:t>th</w:t>
            </w:r>
            <w:r w:rsidRPr="00C8279B">
              <w:rPr>
                <w:rFonts w:eastAsia="Times New Roman" w:cs="Times New Roman"/>
                <w:sz w:val="22"/>
                <w:szCs w:val="22"/>
              </w:rPr>
              <w:t xml:space="preserve"> anniversary: [#]x, Prior to the 3</w:t>
            </w:r>
            <w:r w:rsidRPr="00C8279B">
              <w:rPr>
                <w:rFonts w:eastAsia="Times New Roman" w:cs="Times New Roman"/>
                <w:sz w:val="22"/>
                <w:szCs w:val="22"/>
                <w:vertAlign w:val="superscript"/>
              </w:rPr>
              <w:t>rd</w:t>
            </w:r>
            <w:r w:rsidRPr="00C8279B">
              <w:rPr>
                <w:rFonts w:eastAsia="Times New Roman" w:cs="Times New Roman"/>
                <w:sz w:val="22"/>
                <w:szCs w:val="22"/>
              </w:rPr>
              <w:t xml:space="preserve"> anniversary: [#]x, Prior to the 2</w:t>
            </w:r>
            <w:r w:rsidRPr="00C8279B">
              <w:rPr>
                <w:rFonts w:eastAsia="Times New Roman" w:cs="Times New Roman"/>
                <w:sz w:val="22"/>
                <w:szCs w:val="22"/>
                <w:vertAlign w:val="superscript"/>
              </w:rPr>
              <w:t>nd</w:t>
            </w:r>
            <w:r w:rsidRPr="00C8279B">
              <w:rPr>
                <w:rFonts w:eastAsia="Times New Roman" w:cs="Times New Roman"/>
                <w:sz w:val="22"/>
                <w:szCs w:val="22"/>
              </w:rPr>
              <w:t xml:space="preserve"> anniversary: </w:t>
            </w:r>
            <w:proofErr w:type="gramStart"/>
            <w:r w:rsidRPr="00C8279B">
              <w:rPr>
                <w:rFonts w:eastAsia="Times New Roman" w:cs="Times New Roman"/>
                <w:sz w:val="22"/>
                <w:szCs w:val="22"/>
              </w:rPr>
              <w:t>[ ]</w:t>
            </w:r>
            <w:proofErr w:type="gramEnd"/>
            <w:r w:rsidRPr="00C8279B">
              <w:rPr>
                <w:rFonts w:eastAsia="Times New Roman" w:cs="Times New Roman"/>
                <w:sz w:val="22"/>
                <w:szCs w:val="22"/>
              </w:rPr>
              <w:t>x.</w:t>
            </w:r>
            <w:r w:rsidRPr="00C8279B">
              <w:rPr>
                <w:rStyle w:val="FootnoteReference"/>
                <w:rFonts w:eastAsia="Times New Roman" w:cs="Times New Roman"/>
                <w:sz w:val="22"/>
                <w:szCs w:val="22"/>
              </w:rPr>
              <w:footnoteReference w:id="22"/>
            </w:r>
          </w:p>
        </w:tc>
      </w:tr>
      <w:tr w:rsidR="00CD66F9" w:rsidRPr="00C8279B" w14:paraId="416C3059" w14:textId="77777777" w:rsidTr="0048466A">
        <w:trPr>
          <w:trHeight w:val="530"/>
        </w:trPr>
        <w:tc>
          <w:tcPr>
            <w:tcW w:w="2160" w:type="dxa"/>
            <w:shd w:val="clear" w:color="auto" w:fill="auto"/>
          </w:tcPr>
          <w:p w14:paraId="361BA808" w14:textId="700E7C55" w:rsidR="00CD66F9" w:rsidRPr="00C8279B" w:rsidRDefault="00CD66F9" w:rsidP="001037B7">
            <w:pPr>
              <w:spacing w:before="120" w:after="120"/>
              <w:cnfStyle w:val="001000000000" w:firstRow="0" w:lastRow="0" w:firstColumn="1" w:lastColumn="0" w:oddVBand="0" w:evenVBand="0" w:oddHBand="0" w:evenHBand="0" w:firstRowFirstColumn="0" w:firstRowLastColumn="0" w:lastRowFirstColumn="0" w:lastRowLastColumn="0"/>
              <w:rPr>
                <w:rFonts w:eastAsia="Times New Roman" w:cs="Times New Roman"/>
                <w:sz w:val="22"/>
                <w:szCs w:val="22"/>
              </w:rPr>
            </w:pPr>
            <w:r w:rsidRPr="00C8279B">
              <w:rPr>
                <w:rFonts w:eastAsia="Times New Roman" w:cs="Times New Roman"/>
                <w:sz w:val="22"/>
                <w:szCs w:val="22"/>
              </w:rPr>
              <w:lastRenderedPageBreak/>
              <w:t>Revenue Floor</w:t>
            </w:r>
          </w:p>
        </w:tc>
        <w:tc>
          <w:tcPr>
            <w:tcW w:w="8280" w:type="dxa"/>
            <w:shd w:val="clear" w:color="auto" w:fill="auto"/>
          </w:tcPr>
          <w:p w14:paraId="5E0A04EF" w14:textId="77777777" w:rsidR="00CD66F9" w:rsidRPr="00C8279B" w:rsidRDefault="00CD66F9" w:rsidP="001037B7">
            <w:pPr>
              <w:spacing w:before="120" w:after="120"/>
              <w:rPr>
                <w:rFonts w:eastAsia="Times New Roman" w:cs="Times New Roman"/>
                <w:sz w:val="22"/>
                <w:szCs w:val="22"/>
              </w:rPr>
            </w:pPr>
            <w:r w:rsidRPr="00C8279B">
              <w:rPr>
                <w:rFonts w:eastAsia="Times New Roman" w:cs="Times New Roman"/>
                <w:sz w:val="22"/>
                <w:szCs w:val="22"/>
              </w:rPr>
              <w:t>The Borrow will only be obligated to make Revenue Payments if the Company’s Revenue exceeds [$ Insert Amount] per payment period.</w:t>
            </w:r>
            <w:r w:rsidRPr="00C8279B">
              <w:rPr>
                <w:rStyle w:val="FootnoteReference"/>
                <w:rFonts w:eastAsia="Times New Roman" w:cs="Times New Roman"/>
                <w:sz w:val="22"/>
                <w:szCs w:val="22"/>
              </w:rPr>
              <w:footnoteReference w:id="23"/>
            </w:r>
          </w:p>
        </w:tc>
      </w:tr>
      <w:tr w:rsidR="00CD66F9" w:rsidRPr="00C8279B" w14:paraId="7EAA121C" w14:textId="77777777" w:rsidTr="0048466A">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43FF89DA" w14:textId="565FE472" w:rsidR="00CD66F9" w:rsidRPr="00C8279B" w:rsidRDefault="00CD66F9" w:rsidP="001037B7">
            <w:pPr>
              <w:spacing w:before="120" w:after="120"/>
              <w:rPr>
                <w:rFonts w:eastAsia="Times New Roman" w:cs="Times New Roman"/>
                <w:sz w:val="22"/>
                <w:szCs w:val="22"/>
              </w:rPr>
            </w:pPr>
            <w:r w:rsidRPr="00C8279B">
              <w:rPr>
                <w:rFonts w:eastAsia="Times New Roman" w:cs="Times New Roman"/>
                <w:sz w:val="22"/>
                <w:szCs w:val="22"/>
              </w:rPr>
              <w:t>Seniority / Subordination</w:t>
            </w:r>
          </w:p>
        </w:tc>
        <w:tc>
          <w:tcPr>
            <w:tcW w:w="8280" w:type="dxa"/>
            <w:shd w:val="clear" w:color="auto" w:fill="auto"/>
          </w:tcPr>
          <w:p w14:paraId="3D58470A" w14:textId="77777777" w:rsidR="00CD66F9" w:rsidRPr="00C8279B" w:rsidRDefault="00CD66F9" w:rsidP="001037B7">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rPr>
            </w:pPr>
            <w:r w:rsidRPr="00C8279B">
              <w:rPr>
                <w:rFonts w:eastAsia="Times New Roman" w:cs="Times New Roman"/>
                <w:sz w:val="22"/>
                <w:szCs w:val="22"/>
              </w:rPr>
              <w:t>[Describe Seniority/Subordination].</w:t>
            </w:r>
            <w:r w:rsidRPr="00C8279B">
              <w:rPr>
                <w:rStyle w:val="FootnoteReference"/>
                <w:rFonts w:eastAsia="Times New Roman" w:cs="Times New Roman"/>
                <w:sz w:val="22"/>
                <w:szCs w:val="22"/>
              </w:rPr>
              <w:footnoteReference w:id="24"/>
            </w:r>
          </w:p>
        </w:tc>
      </w:tr>
      <w:tr w:rsidR="00CD66F9" w:rsidRPr="00C8279B" w14:paraId="4FB39828" w14:textId="77777777" w:rsidTr="0048466A">
        <w:trPr>
          <w:trHeight w:val="791"/>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5D85C750" w14:textId="32B6140D" w:rsidR="00CD66F9" w:rsidRPr="00C8279B" w:rsidRDefault="00CD66F9" w:rsidP="001037B7">
            <w:pPr>
              <w:spacing w:before="120" w:after="120"/>
              <w:rPr>
                <w:rFonts w:eastAsia="Times New Roman" w:cs="Times New Roman"/>
                <w:sz w:val="22"/>
                <w:szCs w:val="22"/>
              </w:rPr>
            </w:pPr>
            <w:r w:rsidRPr="00C8279B">
              <w:rPr>
                <w:rFonts w:eastAsia="Times New Roman" w:cs="Times New Roman"/>
                <w:sz w:val="22"/>
                <w:szCs w:val="22"/>
              </w:rPr>
              <w:t xml:space="preserve">Security and </w:t>
            </w:r>
            <w:proofErr w:type="gramStart"/>
            <w:r w:rsidRPr="00C8279B">
              <w:rPr>
                <w:rFonts w:eastAsia="Times New Roman" w:cs="Times New Roman"/>
                <w:sz w:val="22"/>
                <w:szCs w:val="22"/>
              </w:rPr>
              <w:t>Guarantees</w:t>
            </w:r>
            <w:proofErr w:type="gramEnd"/>
            <w:r w:rsidRPr="00C8279B">
              <w:rPr>
                <w:rStyle w:val="FootnoteReference"/>
                <w:rFonts w:eastAsia="Times New Roman" w:cs="Times New Roman"/>
                <w:sz w:val="22"/>
                <w:szCs w:val="22"/>
              </w:rPr>
              <w:footnoteReference w:id="25"/>
            </w:r>
            <w:r w:rsidRPr="00C8279B">
              <w:rPr>
                <w:rFonts w:eastAsia="Times New Roman" w:cs="Times New Roman"/>
                <w:sz w:val="22"/>
                <w:szCs w:val="22"/>
              </w:rPr>
              <w:t xml:space="preserve"> </w:t>
            </w:r>
          </w:p>
        </w:tc>
        <w:tc>
          <w:tcPr>
            <w:tcW w:w="8280" w:type="dxa"/>
            <w:shd w:val="clear" w:color="auto" w:fill="auto"/>
          </w:tcPr>
          <w:p w14:paraId="703C2DBD" w14:textId="77777777" w:rsidR="00CD66F9" w:rsidRPr="00C8279B" w:rsidRDefault="00CD66F9" w:rsidP="001037B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C8279B">
              <w:rPr>
                <w:rFonts w:eastAsia="Times New Roman" w:cs="Times New Roman"/>
                <w:sz w:val="22"/>
                <w:szCs w:val="22"/>
              </w:rPr>
              <w:t>The RBL shall be unsecured and have no guarantors.</w:t>
            </w:r>
          </w:p>
        </w:tc>
      </w:tr>
      <w:tr w:rsidR="00CD66F9" w:rsidRPr="00C8279B" w14:paraId="76D763E4" w14:textId="77777777" w:rsidTr="0048466A">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03E7BE0A" w14:textId="62A82A76" w:rsidR="00CD66F9" w:rsidRPr="00C8279B" w:rsidRDefault="00CD66F9" w:rsidP="001037B7">
            <w:pPr>
              <w:spacing w:before="120" w:after="120"/>
              <w:rPr>
                <w:rFonts w:eastAsia="Times New Roman" w:cs="Times New Roman"/>
                <w:sz w:val="22"/>
                <w:szCs w:val="22"/>
              </w:rPr>
            </w:pPr>
            <w:r w:rsidRPr="00C8279B">
              <w:rPr>
                <w:rFonts w:eastAsia="Times New Roman" w:cs="Times New Roman"/>
                <w:sz w:val="22"/>
                <w:szCs w:val="22"/>
              </w:rPr>
              <w:t>Board Observer</w:t>
            </w:r>
            <w:r w:rsidRPr="00C8279B">
              <w:rPr>
                <w:rStyle w:val="FootnoteReference"/>
                <w:rFonts w:eastAsia="Times New Roman" w:cs="Times New Roman"/>
                <w:sz w:val="22"/>
                <w:szCs w:val="22"/>
              </w:rPr>
              <w:footnoteReference w:id="26"/>
            </w:r>
          </w:p>
        </w:tc>
        <w:tc>
          <w:tcPr>
            <w:tcW w:w="8280" w:type="dxa"/>
            <w:shd w:val="clear" w:color="auto" w:fill="auto"/>
          </w:tcPr>
          <w:p w14:paraId="6C72453F" w14:textId="35291B3B" w:rsidR="00CD66F9" w:rsidRPr="00C8279B" w:rsidRDefault="00CD66F9" w:rsidP="001037B7">
            <w:pPr>
              <w:pStyle w:val="ListNumber4"/>
              <w:numPr>
                <w:ilvl w:val="0"/>
                <w:numId w:val="0"/>
              </w:numPr>
              <w:spacing w:before="120" w:after="12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8279B">
              <w:rPr>
                <w:rFonts w:ascii="Times New Roman" w:eastAsia="Times New Roman" w:hAnsi="Times New Roman" w:cs="Times New Roman"/>
              </w:rPr>
              <w:t>During the term of the RBL, the Lender shall be entitled to designate one (1) representative of the Lender to attend meetings of the Company’s [Governing Body] in the capacity of a non-voting observer.</w:t>
            </w:r>
          </w:p>
        </w:tc>
      </w:tr>
      <w:tr w:rsidR="00CD66F9" w:rsidRPr="00C8279B" w14:paraId="765BF335" w14:textId="77777777" w:rsidTr="0048466A">
        <w:trPr>
          <w:trHeight w:val="6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0E5A35E9" w14:textId="6CAE3AFD" w:rsidR="00CD66F9" w:rsidRPr="00C8279B" w:rsidRDefault="00CD66F9" w:rsidP="001037B7">
            <w:pPr>
              <w:spacing w:before="120" w:after="120"/>
              <w:rPr>
                <w:rFonts w:eastAsia="Times New Roman" w:cs="Times New Roman"/>
                <w:sz w:val="22"/>
                <w:szCs w:val="22"/>
              </w:rPr>
            </w:pPr>
            <w:r w:rsidRPr="00C8279B">
              <w:rPr>
                <w:rFonts w:eastAsia="Times New Roman" w:cs="Times New Roman"/>
                <w:sz w:val="22"/>
                <w:szCs w:val="22"/>
              </w:rPr>
              <w:t>Securities Legend</w:t>
            </w:r>
            <w:r w:rsidRPr="00C8279B">
              <w:rPr>
                <w:rStyle w:val="FootnoteReference"/>
                <w:rFonts w:eastAsia="Times New Roman" w:cs="Times New Roman"/>
                <w:sz w:val="22"/>
                <w:szCs w:val="22"/>
              </w:rPr>
              <w:footnoteReference w:id="27"/>
            </w:r>
          </w:p>
        </w:tc>
        <w:tc>
          <w:tcPr>
            <w:tcW w:w="8280" w:type="dxa"/>
            <w:shd w:val="clear" w:color="auto" w:fill="auto"/>
          </w:tcPr>
          <w:p w14:paraId="35D2E304" w14:textId="5C1918D1" w:rsidR="00CD66F9" w:rsidRPr="00C8279B" w:rsidRDefault="00CD66F9" w:rsidP="001037B7">
            <w:pPr>
              <w:pStyle w:val="ListNumber4"/>
              <w:numPr>
                <w:ilvl w:val="0"/>
                <w:numId w:val="0"/>
              </w:numPr>
              <w:spacing w:before="120" w:after="12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8279B">
              <w:rPr>
                <w:rFonts w:ascii="Times New Roman" w:eastAsia="Times New Roman" w:hAnsi="Times New Roman" w:cs="Times New Roman"/>
              </w:rPr>
              <w:t>Customary Securities Legend</w:t>
            </w:r>
            <w:r w:rsidR="00487A79">
              <w:rPr>
                <w:rFonts w:ascii="Times New Roman" w:eastAsia="Times New Roman" w:hAnsi="Times New Roman" w:cs="Times New Roman"/>
              </w:rPr>
              <w:t>.</w:t>
            </w:r>
          </w:p>
        </w:tc>
      </w:tr>
      <w:tr w:rsidR="00CD66F9" w:rsidRPr="00C8279B" w14:paraId="1D508F11" w14:textId="77777777" w:rsidTr="0048466A">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408E2187" w14:textId="4E77CFE9" w:rsidR="00CD66F9" w:rsidRPr="00C8279B" w:rsidRDefault="00CD66F9" w:rsidP="001037B7">
            <w:pPr>
              <w:spacing w:before="120" w:after="120"/>
              <w:rPr>
                <w:rFonts w:eastAsia="Times New Roman" w:cs="Times New Roman"/>
                <w:sz w:val="22"/>
                <w:szCs w:val="22"/>
              </w:rPr>
            </w:pPr>
            <w:r w:rsidRPr="00C8279B">
              <w:rPr>
                <w:rFonts w:eastAsia="Times New Roman" w:cs="Times New Roman"/>
                <w:sz w:val="22"/>
                <w:szCs w:val="22"/>
              </w:rPr>
              <w:t>Representations and Warranties of the Lender</w:t>
            </w:r>
            <w:r w:rsidRPr="00C8279B">
              <w:rPr>
                <w:rStyle w:val="FootnoteReference"/>
                <w:rFonts w:eastAsia="Times New Roman" w:cs="Times New Roman"/>
                <w:sz w:val="22"/>
                <w:szCs w:val="22"/>
              </w:rPr>
              <w:footnoteReference w:id="28"/>
            </w:r>
          </w:p>
        </w:tc>
        <w:tc>
          <w:tcPr>
            <w:tcW w:w="8280" w:type="dxa"/>
            <w:shd w:val="clear" w:color="auto" w:fill="auto"/>
          </w:tcPr>
          <w:p w14:paraId="27A919D4" w14:textId="77777777" w:rsidR="00CD66F9" w:rsidRPr="00C8279B" w:rsidRDefault="00CD66F9" w:rsidP="001037B7">
            <w:pPr>
              <w:pStyle w:val="ListNumber4"/>
              <w:numPr>
                <w:ilvl w:val="0"/>
                <w:numId w:val="0"/>
              </w:numPr>
              <w:spacing w:before="120" w:after="120"/>
              <w:ind w:left="390" w:hanging="36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8279B">
              <w:rPr>
                <w:rFonts w:ascii="Times New Roman" w:eastAsia="Times New Roman" w:hAnsi="Times New Roman" w:cs="Times New Roman"/>
              </w:rPr>
              <w:t xml:space="preserve">Customary investor representations for private securities investments. </w:t>
            </w:r>
          </w:p>
        </w:tc>
      </w:tr>
      <w:tr w:rsidR="00CD66F9" w:rsidRPr="00C8279B" w14:paraId="7924F5E4" w14:textId="77777777" w:rsidTr="0048466A">
        <w:trPr>
          <w:trHeight w:val="71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16BBB89D" w14:textId="48B3DD92" w:rsidR="00CD66F9" w:rsidRPr="00C8279B" w:rsidRDefault="00CD66F9" w:rsidP="001037B7">
            <w:pPr>
              <w:spacing w:before="120" w:after="120"/>
              <w:rPr>
                <w:rFonts w:eastAsia="Times New Roman" w:cs="Times New Roman"/>
                <w:sz w:val="22"/>
                <w:szCs w:val="22"/>
              </w:rPr>
            </w:pPr>
            <w:r w:rsidRPr="00C8279B">
              <w:rPr>
                <w:rFonts w:eastAsia="Times New Roman" w:cs="Times New Roman"/>
                <w:sz w:val="22"/>
                <w:szCs w:val="22"/>
              </w:rPr>
              <w:lastRenderedPageBreak/>
              <w:t>Equity Consideration / Conversion</w:t>
            </w:r>
            <w:r w:rsidR="00096492" w:rsidRPr="00C8279B">
              <w:rPr>
                <w:rStyle w:val="FootnoteReference"/>
                <w:rFonts w:eastAsia="Times New Roman" w:cs="Times New Roman"/>
                <w:sz w:val="22"/>
                <w:szCs w:val="22"/>
              </w:rPr>
              <w:footnoteReference w:id="29"/>
            </w:r>
          </w:p>
        </w:tc>
        <w:tc>
          <w:tcPr>
            <w:tcW w:w="8280" w:type="dxa"/>
            <w:shd w:val="clear" w:color="auto" w:fill="auto"/>
          </w:tcPr>
          <w:p w14:paraId="0EE1EB9F" w14:textId="39EF1104" w:rsidR="00CD66F9" w:rsidRPr="00C8279B" w:rsidRDefault="00CD66F9" w:rsidP="001037B7">
            <w:pPr>
              <w:keepNext/>
              <w:keepLines/>
              <w:spacing w:before="120" w:after="12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C8279B">
              <w:rPr>
                <w:rFonts w:eastAsia="Times New Roman" w:cs="Times New Roman"/>
                <w:sz w:val="22"/>
                <w:szCs w:val="22"/>
              </w:rPr>
              <w:t>“The Company shall provide the Lender a warrant to allow the Lender to purchase [$ Insert Amount] of the Company’s next Qualifying Financing Round.”</w:t>
            </w:r>
          </w:p>
          <w:p w14:paraId="126649AC" w14:textId="163A925B" w:rsidR="00CD66F9" w:rsidRPr="00C8279B" w:rsidRDefault="00CD66F9" w:rsidP="001037B7">
            <w:pPr>
              <w:keepNext/>
              <w:keepLines/>
              <w:spacing w:before="120" w:after="12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C8279B">
              <w:rPr>
                <w:rFonts w:eastAsia="Times New Roman" w:cs="Times New Roman"/>
                <w:sz w:val="22"/>
                <w:szCs w:val="22"/>
              </w:rPr>
              <w:t>“If the Company conducts a Qualifying Financing Round prior to the Maturity Date and the RBL Obligation has not been paid, then the Lender shall have the right, but not the obligation, to convert the unpaid amount of the RBL Obligation as of immediately prior to the closing of the Qualifying Financing Round, into the same class of shares being purchased Qualifying Financing Round at a price per share equal (a) the lowest price per share available in the round or (b) [Insert Valuation Cap] divided by the fully diluted share total of the Company, whichever is lower. The Company shall inform the Lender of such Qualifying Financing Round [Insert Number of Days] prior to its closing, which upon receiving such notice the Lender shall have [Insert Number of Days] to elect and notify the Company of its intention to convert the remaining RBL Obligations to equity. Upon the conversion of the remaining RBL Obligations to equity in the Qualifying Financing Round, the RBL Obligations will be considered satisfied.”</w:t>
            </w:r>
          </w:p>
        </w:tc>
      </w:tr>
    </w:tbl>
    <w:p w14:paraId="00000048" w14:textId="74C95A15" w:rsidR="00BA6F04" w:rsidRDefault="00BA6F04" w:rsidP="00407E87">
      <w:pPr>
        <w:tabs>
          <w:tab w:val="left" w:pos="-720"/>
        </w:tabs>
        <w:spacing w:after="160" w:line="259" w:lineRule="auto"/>
        <w:rPr>
          <w:rFonts w:eastAsia="Times New Roman" w:cs="Times New Roman"/>
          <w:i/>
          <w:sz w:val="22"/>
          <w:szCs w:val="22"/>
        </w:rPr>
      </w:pPr>
    </w:p>
    <w:p w14:paraId="326FD51F" w14:textId="77777777" w:rsidR="00806F7A" w:rsidRDefault="00DB2C66" w:rsidP="00FC786A">
      <w:pPr>
        <w:tabs>
          <w:tab w:val="left" w:pos="-720"/>
        </w:tabs>
        <w:spacing w:after="160" w:line="259" w:lineRule="auto"/>
        <w:jc w:val="center"/>
        <w:rPr>
          <w:rFonts w:eastAsia="Times New Roman" w:cs="Times New Roman"/>
          <w:i/>
          <w:sz w:val="22"/>
          <w:szCs w:val="22"/>
        </w:rPr>
        <w:sectPr w:rsidR="00806F7A" w:rsidSect="00A50A17">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26"/>
        </w:sectPr>
      </w:pPr>
      <w:r w:rsidRPr="00DB2C66">
        <w:rPr>
          <w:rFonts w:eastAsia="Times New Roman" w:cs="Times New Roman"/>
          <w:i/>
          <w:sz w:val="22"/>
          <w:szCs w:val="22"/>
        </w:rPr>
        <w:t>(Signature Page Follows)</w:t>
      </w:r>
    </w:p>
    <w:p w14:paraId="554E842F" w14:textId="77777777" w:rsidR="00DB2C66" w:rsidRPr="00DB2C66" w:rsidRDefault="00DB2C66" w:rsidP="00FC786A">
      <w:pPr>
        <w:tabs>
          <w:tab w:val="left" w:pos="-720"/>
        </w:tabs>
        <w:spacing w:after="160" w:line="259" w:lineRule="auto"/>
        <w:jc w:val="center"/>
        <w:rPr>
          <w:rFonts w:eastAsia="Times New Roman" w:cs="Times New Roman"/>
          <w:i/>
          <w:sz w:val="22"/>
          <w:szCs w:val="22"/>
        </w:rPr>
      </w:pPr>
    </w:p>
    <w:p w14:paraId="402434FA" w14:textId="0A305A8F" w:rsidR="00DB2C66" w:rsidRDefault="00DB2C66" w:rsidP="00DB2C66">
      <w:pPr>
        <w:ind w:firstLine="720"/>
        <w:jc w:val="both"/>
        <w:rPr>
          <w:rFonts w:cs="Times New Roman"/>
        </w:rPr>
      </w:pPr>
      <w:r w:rsidRPr="00FA7A46">
        <w:rPr>
          <w:rFonts w:cs="Times New Roman"/>
          <w:b/>
          <w:bCs/>
        </w:rPr>
        <w:t>IN WITNESS WHEREOF</w:t>
      </w:r>
      <w:r w:rsidRPr="00FA7A46">
        <w:rPr>
          <w:rFonts w:cs="Times New Roman"/>
        </w:rPr>
        <w:t xml:space="preserve">, the </w:t>
      </w:r>
      <w:r>
        <w:rPr>
          <w:rFonts w:cs="Times New Roman"/>
        </w:rPr>
        <w:t>Company and the Lender</w:t>
      </w:r>
      <w:r w:rsidRPr="00FA7A46">
        <w:rPr>
          <w:rFonts w:cs="Times New Roman"/>
        </w:rPr>
        <w:t xml:space="preserve"> have</w:t>
      </w:r>
      <w:r>
        <w:rPr>
          <w:rFonts w:cs="Times New Roman"/>
        </w:rPr>
        <w:t xml:space="preserve"> each duly</w:t>
      </w:r>
      <w:r w:rsidRPr="00FA7A46">
        <w:rPr>
          <w:rFonts w:cs="Times New Roman"/>
        </w:rPr>
        <w:t xml:space="preserve"> executed this Term Sheet as of the ___ day of _____, 202_</w:t>
      </w:r>
      <w:r>
        <w:rPr>
          <w:rFonts w:cs="Times New Roman"/>
        </w:rPr>
        <w:t>.</w:t>
      </w:r>
    </w:p>
    <w:p w14:paraId="48112560" w14:textId="77777777" w:rsidR="00DB2C66" w:rsidRDefault="00DB2C66" w:rsidP="00DB2C66">
      <w:pPr>
        <w:ind w:firstLine="720"/>
        <w:jc w:val="both"/>
        <w:rPr>
          <w:rFonts w:cs="Times New Roman"/>
        </w:rPr>
      </w:pPr>
    </w:p>
    <w:p w14:paraId="54D3A373" w14:textId="280562AC" w:rsidR="00DB2C66" w:rsidRPr="00FA7A46" w:rsidRDefault="00DB2C66" w:rsidP="00DB2C66">
      <w:pPr>
        <w:ind w:firstLine="720"/>
        <w:jc w:val="both"/>
        <w:rPr>
          <w:rFonts w:cs="Times New Roman"/>
          <w:b/>
          <w:bCs/>
        </w:rPr>
      </w:pPr>
      <w:r>
        <w:rPr>
          <w:rFonts w:cs="Times New Roman"/>
        </w:rPr>
        <w:tab/>
      </w:r>
      <w:r>
        <w:rPr>
          <w:rFonts w:cs="Times New Roman"/>
        </w:rPr>
        <w:tab/>
      </w:r>
      <w:r>
        <w:rPr>
          <w:rFonts w:cs="Times New Roman"/>
        </w:rPr>
        <w:tab/>
      </w:r>
      <w:r>
        <w:rPr>
          <w:rFonts w:cs="Times New Roman"/>
        </w:rPr>
        <w:tab/>
      </w:r>
      <w:r>
        <w:rPr>
          <w:rFonts w:cs="Times New Roman"/>
        </w:rPr>
        <w:tab/>
      </w:r>
      <w:r w:rsidRPr="00FA7A46">
        <w:rPr>
          <w:rFonts w:cs="Times New Roman"/>
          <w:b/>
          <w:bCs/>
        </w:rPr>
        <w:t>[</w:t>
      </w:r>
      <w:r>
        <w:rPr>
          <w:rFonts w:cs="Times New Roman"/>
          <w:b/>
          <w:bCs/>
        </w:rPr>
        <w:t>COMPANY</w:t>
      </w:r>
      <w:r w:rsidRPr="00FA7A46">
        <w:rPr>
          <w:rFonts w:cs="Times New Roman"/>
          <w:b/>
          <w:bCs/>
        </w:rPr>
        <w:t>]</w:t>
      </w:r>
    </w:p>
    <w:p w14:paraId="563248DE" w14:textId="77777777" w:rsidR="00DB2C66" w:rsidRDefault="00DB2C66" w:rsidP="00DB2C66">
      <w:pPr>
        <w:ind w:firstLine="720"/>
        <w:jc w:val="both"/>
        <w:rPr>
          <w:rFonts w:cs="Times New Roman"/>
        </w:rPr>
      </w:pPr>
    </w:p>
    <w:p w14:paraId="62226189" w14:textId="77777777" w:rsidR="00DB2C66" w:rsidRDefault="00DB2C66" w:rsidP="00DB2C66">
      <w:pPr>
        <w:ind w:firstLine="720"/>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By: ______________________________________</w:t>
      </w:r>
    </w:p>
    <w:p w14:paraId="5C04AC65" w14:textId="77777777" w:rsidR="00DB2C66" w:rsidRDefault="00DB2C66" w:rsidP="00DB2C66">
      <w:pPr>
        <w:ind w:firstLine="720"/>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 xml:space="preserve">       Name:</w:t>
      </w:r>
    </w:p>
    <w:p w14:paraId="3A56808C" w14:textId="77777777" w:rsidR="00DB2C66" w:rsidRDefault="00DB2C66" w:rsidP="00DB2C66">
      <w:pPr>
        <w:ind w:firstLine="720"/>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 xml:space="preserve">       Title:</w:t>
      </w:r>
    </w:p>
    <w:p w14:paraId="238E5D3E" w14:textId="77777777" w:rsidR="00DB2C66" w:rsidRDefault="00DB2C66" w:rsidP="00DB2C66">
      <w:pPr>
        <w:ind w:firstLine="720"/>
        <w:jc w:val="both"/>
        <w:rPr>
          <w:rFonts w:cs="Times New Roman"/>
        </w:rPr>
      </w:pPr>
    </w:p>
    <w:p w14:paraId="279BD9F5" w14:textId="77777777" w:rsidR="00DB2C66" w:rsidRDefault="00DB2C66" w:rsidP="00DB2C66">
      <w:pPr>
        <w:ind w:firstLine="720"/>
        <w:jc w:val="both"/>
        <w:rPr>
          <w:rFonts w:cs="Times New Roman"/>
        </w:rPr>
      </w:pPr>
    </w:p>
    <w:p w14:paraId="21055BF4" w14:textId="77777777" w:rsidR="00DB2C66" w:rsidRDefault="00DB2C66" w:rsidP="00DB2C66">
      <w:pPr>
        <w:ind w:firstLine="720"/>
        <w:jc w:val="both"/>
        <w:rPr>
          <w:rFonts w:cs="Times New Roman"/>
        </w:rPr>
      </w:pPr>
    </w:p>
    <w:p w14:paraId="65A57236" w14:textId="4489033F" w:rsidR="00DB2C66" w:rsidRPr="00FA7A46" w:rsidRDefault="00DB2C66" w:rsidP="00DB2C66">
      <w:pPr>
        <w:ind w:firstLine="720"/>
        <w:jc w:val="both"/>
        <w:rPr>
          <w:rFonts w:cs="Times New Roman"/>
          <w:b/>
          <w:bCs/>
        </w:rPr>
      </w:pPr>
      <w:r>
        <w:rPr>
          <w:rFonts w:cs="Times New Roman"/>
        </w:rPr>
        <w:tab/>
      </w:r>
      <w:r>
        <w:rPr>
          <w:rFonts w:cs="Times New Roman"/>
        </w:rPr>
        <w:tab/>
      </w:r>
      <w:r>
        <w:rPr>
          <w:rFonts w:cs="Times New Roman"/>
        </w:rPr>
        <w:tab/>
      </w:r>
      <w:r>
        <w:rPr>
          <w:rFonts w:cs="Times New Roman"/>
        </w:rPr>
        <w:tab/>
      </w:r>
      <w:r>
        <w:rPr>
          <w:rFonts w:cs="Times New Roman"/>
        </w:rPr>
        <w:tab/>
      </w:r>
      <w:r w:rsidRPr="00FA7A46">
        <w:rPr>
          <w:rFonts w:cs="Times New Roman"/>
          <w:b/>
          <w:bCs/>
        </w:rPr>
        <w:t>[</w:t>
      </w:r>
      <w:r>
        <w:rPr>
          <w:rFonts w:cs="Times New Roman"/>
          <w:b/>
          <w:bCs/>
        </w:rPr>
        <w:t>LENDER</w:t>
      </w:r>
      <w:r w:rsidRPr="00FA7A46">
        <w:rPr>
          <w:rFonts w:cs="Times New Roman"/>
          <w:b/>
          <w:bCs/>
        </w:rPr>
        <w:t>]</w:t>
      </w:r>
    </w:p>
    <w:p w14:paraId="171B61E7" w14:textId="77777777" w:rsidR="00DB2C66" w:rsidRDefault="00DB2C66" w:rsidP="00DB2C66">
      <w:pPr>
        <w:ind w:firstLine="720"/>
        <w:jc w:val="both"/>
        <w:rPr>
          <w:rFonts w:cs="Times New Roman"/>
        </w:rPr>
      </w:pPr>
    </w:p>
    <w:p w14:paraId="10879E0F" w14:textId="77777777" w:rsidR="00DB2C66" w:rsidRDefault="00DB2C66" w:rsidP="00DB2C66">
      <w:pPr>
        <w:ind w:firstLine="720"/>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By: ______________________________________</w:t>
      </w:r>
    </w:p>
    <w:p w14:paraId="3DC74F56" w14:textId="77777777" w:rsidR="00DB2C66" w:rsidRDefault="00DB2C66" w:rsidP="00DB2C66">
      <w:pPr>
        <w:ind w:firstLine="720"/>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 xml:space="preserve">       Name:</w:t>
      </w:r>
    </w:p>
    <w:p w14:paraId="223B5E53" w14:textId="77777777" w:rsidR="00DB2C66" w:rsidRPr="00FA7A46" w:rsidRDefault="00DB2C66" w:rsidP="00DB2C66">
      <w:pPr>
        <w:ind w:firstLine="720"/>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 xml:space="preserve">       Title:</w:t>
      </w:r>
    </w:p>
    <w:p w14:paraId="5A9E65F3" w14:textId="77777777" w:rsidR="00DB2C66" w:rsidRPr="00FA7A46" w:rsidRDefault="00DB2C66" w:rsidP="00DB2C66">
      <w:pPr>
        <w:ind w:firstLine="720"/>
        <w:jc w:val="both"/>
        <w:rPr>
          <w:rFonts w:cs="Times New Roman"/>
        </w:rPr>
      </w:pPr>
    </w:p>
    <w:p w14:paraId="6B91C5FF" w14:textId="77777777" w:rsidR="00DB2C66" w:rsidRPr="006540C0" w:rsidRDefault="00DB2C66" w:rsidP="00407E87">
      <w:pPr>
        <w:tabs>
          <w:tab w:val="left" w:pos="-720"/>
        </w:tabs>
        <w:spacing w:after="160" w:line="259" w:lineRule="auto"/>
        <w:rPr>
          <w:rFonts w:eastAsia="Times New Roman" w:cs="Times New Roman"/>
          <w:i/>
          <w:sz w:val="22"/>
          <w:szCs w:val="22"/>
        </w:rPr>
      </w:pPr>
    </w:p>
    <w:sectPr w:rsidR="00DB2C66" w:rsidRPr="006540C0" w:rsidSect="00A50A1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787A8" w14:textId="77777777" w:rsidR="00834AB0" w:rsidRDefault="00834AB0" w:rsidP="00F21615">
      <w:r>
        <w:separator/>
      </w:r>
    </w:p>
  </w:endnote>
  <w:endnote w:type="continuationSeparator" w:id="0">
    <w:p w14:paraId="4D69FBD8" w14:textId="77777777" w:rsidR="00834AB0" w:rsidRDefault="00834AB0" w:rsidP="00F2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
    <w:altName w:val="Times New Roman"/>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0629907"/>
      <w:docPartObj>
        <w:docPartGallery w:val="Page Numbers (Bottom of Page)"/>
        <w:docPartUnique/>
      </w:docPartObj>
    </w:sdtPr>
    <w:sdtContent>
      <w:p w14:paraId="02C77B8E" w14:textId="681351FE" w:rsidR="0092117B" w:rsidRDefault="0092117B" w:rsidP="00A50A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E79C3">
          <w:rPr>
            <w:rStyle w:val="PageNumber"/>
            <w:noProof/>
          </w:rPr>
          <w:t>1</w:t>
        </w:r>
        <w:r>
          <w:rPr>
            <w:rStyle w:val="PageNumber"/>
          </w:rPr>
          <w:fldChar w:fldCharType="end"/>
        </w:r>
      </w:p>
    </w:sdtContent>
  </w:sdt>
  <w:p w14:paraId="17C56385" w14:textId="11F06D08" w:rsidR="002B14D1" w:rsidRDefault="00D02A36" w:rsidP="00D02A36">
    <w:pPr>
      <w:pStyle w:val="Footer"/>
    </w:pPr>
    <w:r>
      <w:fldChar w:fldCharType="begin"/>
    </w:r>
    <w:r w:rsidR="000150F0">
      <w:instrText xml:space="preserve">DOCPROPERTY DOCXDOCID DMS=FileSystem Format=&lt;&lt;NAME&gt;&gt; DATE \* MERGEFORMAT </w:instrText>
    </w:r>
    <w:r>
      <w:fldChar w:fldCharType="separate"/>
    </w:r>
    <w:r w:rsidR="000150F0">
      <w:t xml:space="preserve">Revenue Based Loan Term Sheet v2 (RPCK </w:t>
    </w:r>
    <w:proofErr w:type="gramStart"/>
    <w:r w:rsidR="000150F0">
      <w:t>Draft)(</w:t>
    </w:r>
    <w:proofErr w:type="gramEnd"/>
    <w:r w:rsidR="000150F0">
      <w:t>2022-11-13) - 11/17/2022 3:34:29 PM</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5840706"/>
      <w:docPartObj>
        <w:docPartGallery w:val="Page Numbers (Bottom of Page)"/>
        <w:docPartUnique/>
      </w:docPartObj>
    </w:sdtPr>
    <w:sdtContent>
      <w:p w14:paraId="166E54CF" w14:textId="14197EC8" w:rsidR="00A50A17" w:rsidRDefault="00A50A17" w:rsidP="005F613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D28B56" w14:textId="3D256A64" w:rsidR="00A50A17" w:rsidRDefault="00A50A17" w:rsidP="00A50A1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7583928"/>
      <w:docPartObj>
        <w:docPartGallery w:val="Page Numbers (Bottom of Page)"/>
        <w:docPartUnique/>
      </w:docPartObj>
    </w:sdtPr>
    <w:sdtContent>
      <w:p w14:paraId="1CED3987" w14:textId="77777777" w:rsidR="00A50A17" w:rsidRDefault="00A50A17" w:rsidP="005F613F">
        <w:pPr>
          <w:pStyle w:val="Footer"/>
          <w:framePr w:wrap="none" w:vAnchor="text" w:hAnchor="margin" w:xAlign="center" w:y="1"/>
          <w:rPr>
            <w:rStyle w:val="PageNumber"/>
          </w:rPr>
        </w:pPr>
      </w:p>
      <w:p w14:paraId="3A68249F" w14:textId="663867A6" w:rsidR="00A50A17" w:rsidRDefault="00A50A17" w:rsidP="00A50A17">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id w:val="430087698"/>
      <w:docPartObj>
        <w:docPartGallery w:val="Page Numbers (Bottom of Page)"/>
        <w:docPartUnique/>
      </w:docPartObj>
    </w:sdtPr>
    <w:sdtEndPr>
      <w:rPr>
        <w:noProof/>
      </w:rPr>
    </w:sdtEndPr>
    <w:sdtContent>
      <w:p w14:paraId="5EA8ECF9" w14:textId="6C0261B4" w:rsidR="0092117B" w:rsidRDefault="0092117B" w:rsidP="0092117B">
        <w:pPr>
          <w:pStyle w:val="Footer"/>
        </w:pPr>
      </w:p>
      <w:p w14:paraId="6084A143" w14:textId="15A2A173" w:rsidR="002B2716" w:rsidRDefault="00000000" w:rsidP="0092117B">
        <w:pPr>
          <w:pStyle w:val="Footer"/>
          <w:jc w:val="center"/>
        </w:pPr>
      </w:p>
    </w:sdtContent>
  </w:sdt>
  <w:p w14:paraId="74846286" w14:textId="09825CA2" w:rsidR="002B2716" w:rsidRDefault="00D02A36">
    <w:pPr>
      <w:pStyle w:val="Footer"/>
    </w:pPr>
    <w:r>
      <w:fldChar w:fldCharType="begin"/>
    </w:r>
    <w:r w:rsidR="000150F0">
      <w:instrText xml:space="preserve">DOCPROPERTY DOCXDOCID DMS=FileSystem Format=&lt;&lt;NAME&gt;&gt; DATE \* MERGEFORMAT </w:instrText>
    </w:r>
    <w:r>
      <w:fldChar w:fldCharType="separate"/>
    </w:r>
    <w:r w:rsidR="000150F0">
      <w:t xml:space="preserve">Revenue Based Loan Term Sheet v2 (RPCK </w:t>
    </w:r>
    <w:proofErr w:type="gramStart"/>
    <w:r w:rsidR="000150F0">
      <w:t>Draft)(</w:t>
    </w:r>
    <w:proofErr w:type="gramEnd"/>
    <w:r w:rsidR="000150F0">
      <w:t>2022-11-13) - 11/17/2022 3:34:29 PM</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65034" w14:textId="77777777" w:rsidR="00834AB0" w:rsidRDefault="00834AB0" w:rsidP="00F21615">
      <w:r>
        <w:separator/>
      </w:r>
    </w:p>
  </w:footnote>
  <w:footnote w:type="continuationSeparator" w:id="0">
    <w:p w14:paraId="4D3BAF8A" w14:textId="77777777" w:rsidR="00834AB0" w:rsidRDefault="00834AB0" w:rsidP="00F21615">
      <w:r>
        <w:continuationSeparator/>
      </w:r>
    </w:p>
  </w:footnote>
  <w:footnote w:id="1">
    <w:p w14:paraId="4CE2854E" w14:textId="7D0667CF" w:rsidR="003B3CBB" w:rsidRPr="00F46A86" w:rsidRDefault="00761949">
      <w:pPr>
        <w:pStyle w:val="FootnoteText"/>
        <w:rPr>
          <w:rFonts w:cs="Times New Roman"/>
        </w:rPr>
      </w:pPr>
      <w:r w:rsidRPr="00F46A86">
        <w:rPr>
          <w:rStyle w:val="FootnoteReference"/>
          <w:rFonts w:cs="Times New Roman"/>
        </w:rPr>
        <w:footnoteRef/>
      </w:r>
      <w:r w:rsidRPr="00F46A86">
        <w:rPr>
          <w:rFonts w:cs="Times New Roman"/>
        </w:rPr>
        <w:t xml:space="preserve"> </w:t>
      </w:r>
      <w:r w:rsidR="00013867" w:rsidRPr="00F46A86">
        <w:rPr>
          <w:rFonts w:cs="Times New Roman"/>
        </w:rPr>
        <w:t xml:space="preserve">This Term Sheet has been prepared for the </w:t>
      </w:r>
      <w:r w:rsidR="00D71E8F">
        <w:rPr>
          <w:rFonts w:cs="Times New Roman"/>
        </w:rPr>
        <w:t>Innovative Finance P</w:t>
      </w:r>
      <w:r w:rsidR="00013867" w:rsidRPr="00F46A86">
        <w:rPr>
          <w:rFonts w:cs="Times New Roman"/>
        </w:rPr>
        <w:t xml:space="preserve">roject and has been structured to be “debt like” as compared to an alternative Term Sheet published by the </w:t>
      </w:r>
      <w:r w:rsidR="00D71E8F">
        <w:rPr>
          <w:rFonts w:cs="Times New Roman"/>
        </w:rPr>
        <w:t>Innovative Finance</w:t>
      </w:r>
      <w:r w:rsidR="00013867" w:rsidRPr="00F46A86">
        <w:rPr>
          <w:rFonts w:cs="Times New Roman"/>
        </w:rPr>
        <w:t xml:space="preserve"> </w:t>
      </w:r>
      <w:r w:rsidR="00D71E8F">
        <w:rPr>
          <w:rFonts w:cs="Times New Roman"/>
        </w:rPr>
        <w:t>P</w:t>
      </w:r>
      <w:r w:rsidR="00013867" w:rsidRPr="00F46A86">
        <w:rPr>
          <w:rFonts w:cs="Times New Roman"/>
        </w:rPr>
        <w:t xml:space="preserve">roject that is intended to be “equity like”.  This Term Sheet and the Revenue Based Loan contemplated hereby assumes that the Lender and Company desire to structure an investment by the Lender that is (1) non-dilutive, in that the </w:t>
      </w:r>
      <w:r w:rsidR="00125C7B">
        <w:rPr>
          <w:rFonts w:cs="Times New Roman"/>
        </w:rPr>
        <w:t>Lender takes no equity interest in the Company</w:t>
      </w:r>
      <w:r w:rsidR="00013867" w:rsidRPr="00F46A86">
        <w:rPr>
          <w:rFonts w:cs="Times New Roman"/>
        </w:rPr>
        <w:t xml:space="preserve">; (2) treated as a loan (or loan-like investment) under most accounting systems; and (3) relatively founder friendly, while (4) protecting the Lender’s economic interest in its initial investment and primarily capped return expectations.  Accommodating these elements yielded a balance between the </w:t>
      </w:r>
      <w:r w:rsidR="003B2664" w:rsidRPr="00F46A86">
        <w:rPr>
          <w:rFonts w:cs="Times New Roman"/>
        </w:rPr>
        <w:t>Lender</w:t>
      </w:r>
      <w:r w:rsidR="00013867" w:rsidRPr="00F46A86">
        <w:rPr>
          <w:rFonts w:cs="Times New Roman"/>
        </w:rPr>
        <w:t xml:space="preserve"> protective vs. company favorable perspectives that intentionally is less protective of the </w:t>
      </w:r>
      <w:r w:rsidR="003B2664" w:rsidRPr="00F46A86">
        <w:rPr>
          <w:rFonts w:cs="Times New Roman"/>
        </w:rPr>
        <w:t>Lender</w:t>
      </w:r>
      <w:r w:rsidR="00013867" w:rsidRPr="00F46A86">
        <w:rPr>
          <w:rFonts w:cs="Times New Roman"/>
        </w:rPr>
        <w:t xml:space="preserve"> than would be a </w:t>
      </w:r>
      <w:r w:rsidR="003B2664" w:rsidRPr="00F46A86">
        <w:rPr>
          <w:rFonts w:cs="Times New Roman"/>
        </w:rPr>
        <w:t xml:space="preserve">traditional fixed or floating rate </w:t>
      </w:r>
      <w:r w:rsidR="00013867" w:rsidRPr="00F46A86">
        <w:rPr>
          <w:rFonts w:cs="Times New Roman"/>
        </w:rPr>
        <w:t xml:space="preserve">debt investment, but more protective of the </w:t>
      </w:r>
      <w:r w:rsidR="003B2664" w:rsidRPr="00F46A86">
        <w:rPr>
          <w:rFonts w:cs="Times New Roman"/>
        </w:rPr>
        <w:t>Lender</w:t>
      </w:r>
      <w:r w:rsidR="00013867" w:rsidRPr="00F46A86">
        <w:rPr>
          <w:rFonts w:cs="Times New Roman"/>
        </w:rPr>
        <w:t xml:space="preserve"> than would be a traditional equity investment. </w:t>
      </w:r>
    </w:p>
    <w:p w14:paraId="322FEEED" w14:textId="77777777" w:rsidR="003B3CBB" w:rsidRPr="00F46A86" w:rsidRDefault="003B3CBB">
      <w:pPr>
        <w:pStyle w:val="FootnoteText"/>
        <w:rPr>
          <w:rFonts w:cs="Times New Roman"/>
        </w:rPr>
      </w:pPr>
    </w:p>
    <w:p w14:paraId="1CC23659" w14:textId="2389F8A4" w:rsidR="00761949" w:rsidRPr="00F46A86" w:rsidRDefault="00761949">
      <w:pPr>
        <w:pStyle w:val="FootnoteText"/>
        <w:rPr>
          <w:rFonts w:cs="Times New Roman"/>
        </w:rPr>
      </w:pPr>
      <w:r w:rsidRPr="00F46A86">
        <w:rPr>
          <w:rFonts w:cs="Times New Roman"/>
        </w:rPr>
        <w:t xml:space="preserve">Please note that this term sheet contains various options for terms related to RBF financing. Text contained in </w:t>
      </w:r>
      <w:r w:rsidR="00572FAA" w:rsidRPr="00F46A86">
        <w:rPr>
          <w:rFonts w:cs="Times New Roman"/>
        </w:rPr>
        <w:t xml:space="preserve">brackets </w:t>
      </w:r>
      <w:r w:rsidRPr="00F46A86">
        <w:rPr>
          <w:rFonts w:cs="Times New Roman"/>
        </w:rPr>
        <w:t>represent different options available for the relevant terms.</w:t>
      </w:r>
      <w:r w:rsidR="004B7AF3" w:rsidRPr="00F46A86">
        <w:rPr>
          <w:rFonts w:cs="Times New Roman"/>
        </w:rPr>
        <w:t xml:space="preserve"> These options are not an extensive list.</w:t>
      </w:r>
      <w:r w:rsidRPr="00F46A86">
        <w:rPr>
          <w:rFonts w:cs="Times New Roman"/>
        </w:rPr>
        <w:t xml:space="preserve"> In certain </w:t>
      </w:r>
      <w:proofErr w:type="gramStart"/>
      <w:r w:rsidRPr="00F46A86">
        <w:rPr>
          <w:rFonts w:cs="Times New Roman"/>
        </w:rPr>
        <w:t>instances</w:t>
      </w:r>
      <w:proofErr w:type="gramEnd"/>
      <w:r w:rsidRPr="00F46A86">
        <w:rPr>
          <w:rFonts w:cs="Times New Roman"/>
        </w:rPr>
        <w:t xml:space="preserve"> it will make sense to only pick one of these options, a combination, none at all</w:t>
      </w:r>
      <w:r w:rsidR="004B7AF3" w:rsidRPr="00F46A86">
        <w:rPr>
          <w:rFonts w:cs="Times New Roman"/>
        </w:rPr>
        <w:t>, or pick an entirely new option not contained in this Term Sheet</w:t>
      </w:r>
      <w:r w:rsidRPr="00F46A86">
        <w:rPr>
          <w:rFonts w:cs="Times New Roman"/>
        </w:rPr>
        <w:t>.</w:t>
      </w:r>
      <w:r w:rsidR="00572FAA" w:rsidRPr="00F46A86">
        <w:rPr>
          <w:rFonts w:cs="Times New Roman"/>
        </w:rPr>
        <w:t xml:space="preserve"> This Term Sheet also includes </w:t>
      </w:r>
      <w:proofErr w:type="gramStart"/>
      <w:r w:rsidR="00572FAA" w:rsidRPr="00F46A86">
        <w:rPr>
          <w:rFonts w:cs="Times New Roman"/>
        </w:rPr>
        <w:t>a number of</w:t>
      </w:r>
      <w:proofErr w:type="gramEnd"/>
      <w:r w:rsidR="00572FAA" w:rsidRPr="00F46A86">
        <w:rPr>
          <w:rFonts w:cs="Times New Roman"/>
        </w:rPr>
        <w:t xml:space="preserve"> optional categories and provisions to consider based on the specific nature of the Company’s business, the economic model of the Lender’s investments, and the agreed approach toward RBF by the </w:t>
      </w:r>
      <w:r w:rsidR="00125C7B">
        <w:rPr>
          <w:rFonts w:cs="Times New Roman"/>
        </w:rPr>
        <w:t>parties</w:t>
      </w:r>
      <w:r w:rsidR="00572FAA" w:rsidRPr="00F46A86">
        <w:rPr>
          <w:rFonts w:cs="Times New Roman"/>
        </w:rPr>
        <w:t>.</w:t>
      </w:r>
    </w:p>
    <w:p w14:paraId="42E3A84E" w14:textId="1A068D40" w:rsidR="007F0DC3" w:rsidRPr="00F46A86" w:rsidRDefault="007F0DC3">
      <w:pPr>
        <w:pStyle w:val="FootnoteText"/>
        <w:rPr>
          <w:rFonts w:cs="Times New Roman"/>
        </w:rPr>
      </w:pPr>
    </w:p>
    <w:p w14:paraId="08659CAE" w14:textId="2EF78E85" w:rsidR="00D90864" w:rsidRPr="00F46A86" w:rsidRDefault="008737ED">
      <w:pPr>
        <w:pStyle w:val="FootnoteText"/>
        <w:rPr>
          <w:rFonts w:cs="Times New Roman"/>
        </w:rPr>
      </w:pPr>
      <w:r w:rsidRPr="00F46A86">
        <w:rPr>
          <w:rFonts w:cs="Times New Roman"/>
        </w:rPr>
        <w:t xml:space="preserve">This RBL Term Sheet is based on standard terms for a traditional loan agreement and modified to include revenue-based repayment mechanism and investment multiple rather than a principal amount and interest payments. Certain lenders, such as Community Development Financial Institutions may approach RBL as a flexible modification of customary payment terms in familiar loan documentation. Other lenders may have a desire for a higher multiple and reduced covenant and documentation set—approximating a more “venture like” investment. </w:t>
      </w:r>
    </w:p>
    <w:p w14:paraId="5D7A5D6D" w14:textId="77777777" w:rsidR="00D90864" w:rsidRPr="00F46A86" w:rsidRDefault="00D90864">
      <w:pPr>
        <w:pStyle w:val="FootnoteText"/>
        <w:rPr>
          <w:rFonts w:cs="Times New Roman"/>
        </w:rPr>
      </w:pPr>
    </w:p>
    <w:p w14:paraId="058BADAE" w14:textId="72243F05" w:rsidR="007F0DC3" w:rsidRPr="00F46A86" w:rsidRDefault="008737ED">
      <w:pPr>
        <w:pStyle w:val="FootnoteText"/>
        <w:rPr>
          <w:rFonts w:cs="Times New Roman"/>
        </w:rPr>
      </w:pPr>
      <w:r w:rsidRPr="00F46A86">
        <w:rPr>
          <w:rFonts w:cs="Times New Roman"/>
        </w:rPr>
        <w:t xml:space="preserve">The approach of both the Company and the Lender toward RBF </w:t>
      </w:r>
      <w:r w:rsidR="006362E0" w:rsidRPr="00F46A86">
        <w:rPr>
          <w:rFonts w:cs="Times New Roman"/>
        </w:rPr>
        <w:t>requires</w:t>
      </w:r>
      <w:r w:rsidRPr="00F46A86">
        <w:rPr>
          <w:rFonts w:cs="Times New Roman"/>
        </w:rPr>
        <w:t xml:space="preserve"> discussion and a meeting of the minds on i</w:t>
      </w:r>
      <w:r w:rsidR="007F0DC3" w:rsidRPr="00F46A86">
        <w:rPr>
          <w:rFonts w:cs="Times New Roman"/>
        </w:rPr>
        <w:t xml:space="preserve">mportant </w:t>
      </w:r>
      <w:r w:rsidRPr="00F46A86">
        <w:rPr>
          <w:rFonts w:cs="Times New Roman"/>
        </w:rPr>
        <w:t xml:space="preserve">structural </w:t>
      </w:r>
      <w:r w:rsidR="007F0DC3" w:rsidRPr="00F46A86">
        <w:rPr>
          <w:rFonts w:cs="Times New Roman"/>
        </w:rPr>
        <w:t xml:space="preserve">considerations </w:t>
      </w:r>
      <w:r w:rsidRPr="00F46A86">
        <w:rPr>
          <w:rFonts w:cs="Times New Roman"/>
        </w:rPr>
        <w:t xml:space="preserve">such as tax and accounting treatment allocations of principal and interest versus capital gains, lending licensing, securities offerings, </w:t>
      </w:r>
      <w:r w:rsidR="009B1533" w:rsidRPr="00F46A86">
        <w:rPr>
          <w:rFonts w:cs="Times New Roman"/>
        </w:rPr>
        <w:t xml:space="preserve">and </w:t>
      </w:r>
      <w:r w:rsidRPr="00F46A86">
        <w:rPr>
          <w:rFonts w:cs="Times New Roman"/>
        </w:rPr>
        <w:t>usury laws</w:t>
      </w:r>
      <w:r w:rsidR="009B1533" w:rsidRPr="00F46A86">
        <w:rPr>
          <w:rFonts w:cs="Times New Roman"/>
        </w:rPr>
        <w:t xml:space="preserve">, among other issues flagged in the </w:t>
      </w:r>
      <w:r w:rsidR="00D71E8F">
        <w:rPr>
          <w:rFonts w:cs="Times New Roman"/>
        </w:rPr>
        <w:t>Innovative Finance</w:t>
      </w:r>
      <w:r w:rsidR="009B1533" w:rsidRPr="00F46A86">
        <w:rPr>
          <w:rFonts w:cs="Times New Roman"/>
        </w:rPr>
        <w:t xml:space="preserve"> </w:t>
      </w:r>
      <w:r w:rsidR="00D71E8F">
        <w:rPr>
          <w:rFonts w:cs="Times New Roman"/>
        </w:rPr>
        <w:t>P</w:t>
      </w:r>
      <w:r w:rsidR="009B1533" w:rsidRPr="00F46A86">
        <w:rPr>
          <w:rFonts w:cs="Times New Roman"/>
        </w:rPr>
        <w:t>roject</w:t>
      </w:r>
      <w:r w:rsidR="007F0DC3" w:rsidRPr="00F46A86">
        <w:rPr>
          <w:rFonts w:cs="Times New Roman"/>
        </w:rPr>
        <w:t xml:space="preserve">. </w:t>
      </w:r>
    </w:p>
  </w:footnote>
  <w:footnote w:id="2">
    <w:p w14:paraId="01398D24" w14:textId="15EC8711" w:rsidR="007D7448" w:rsidRPr="00F46A86" w:rsidRDefault="007D7448" w:rsidP="009B1533">
      <w:pPr>
        <w:pStyle w:val="FootnoteText"/>
        <w:rPr>
          <w:rFonts w:cs="Times New Roman"/>
        </w:rPr>
      </w:pPr>
      <w:r w:rsidRPr="00F46A86">
        <w:rPr>
          <w:rStyle w:val="FootnoteReference"/>
          <w:rFonts w:cs="Times New Roman"/>
        </w:rPr>
        <w:footnoteRef/>
      </w:r>
      <w:r w:rsidRPr="00F46A86">
        <w:rPr>
          <w:rFonts w:cs="Times New Roman"/>
        </w:rPr>
        <w:t xml:space="preserve"> </w:t>
      </w:r>
      <w:r w:rsidR="009B1533" w:rsidRPr="00F46A86">
        <w:rPr>
          <w:rFonts w:cs="Times New Roman"/>
        </w:rPr>
        <w:t>As noted in the prior footnote, Lenders will approach RBL with different economic interest, relationships with borrowers, and requirements from their own sources of capital. For the purposes of this Term Sheet, we have assumed that a Lender will be appropriately authorized to make loans in the context of the Lender’s business, including any appropriate state or federal registration and regulation of financial institutions or other organizations in the business of making loans. Of particular concern for investors new to the RBF instruments and desiring to structure investments as loans will be a review of state lending license requirements and state interest rate limitations relating to licensing or usury</w:t>
      </w:r>
      <w:r w:rsidRPr="00F46A86">
        <w:rPr>
          <w:rFonts w:cs="Times New Roman"/>
        </w:rPr>
        <w:t xml:space="preserve">. </w:t>
      </w:r>
    </w:p>
  </w:footnote>
  <w:footnote w:id="3">
    <w:p w14:paraId="3198A631" w14:textId="7A1AF190" w:rsidR="00241A86" w:rsidRPr="00F46A86" w:rsidRDefault="00241A86" w:rsidP="00241A86">
      <w:pPr>
        <w:pStyle w:val="FootnoteText"/>
        <w:rPr>
          <w:rFonts w:cs="Times New Roman"/>
        </w:rPr>
      </w:pPr>
      <w:r w:rsidRPr="00F46A86">
        <w:rPr>
          <w:rStyle w:val="FootnoteReference"/>
          <w:rFonts w:cs="Times New Roman"/>
        </w:rPr>
        <w:footnoteRef/>
      </w:r>
      <w:r w:rsidRPr="00F46A86">
        <w:rPr>
          <w:rFonts w:cs="Times New Roman"/>
        </w:rPr>
        <w:t xml:space="preserve"> For purposes of this Term Sheet, we have assumed that the RBL will be provided to a single borrower from a single Lender in a single disbursement on the Closing Date. </w:t>
      </w:r>
      <w:r w:rsidR="00374BF1" w:rsidRPr="00F46A86">
        <w:rPr>
          <w:rFonts w:cs="Times New Roman"/>
        </w:rPr>
        <w:t xml:space="preserve">Syndicated lending facilities would require modest modifications to the Term Sheet, based on customary documentation, which are </w:t>
      </w:r>
      <w:r w:rsidR="00657231" w:rsidRPr="00F46A86">
        <w:rPr>
          <w:rFonts w:cs="Times New Roman"/>
        </w:rPr>
        <w:t>outside</w:t>
      </w:r>
      <w:r w:rsidR="00374BF1" w:rsidRPr="00F46A86">
        <w:rPr>
          <w:rFonts w:cs="Times New Roman"/>
        </w:rPr>
        <w:t xml:space="preserve"> of the scope of this </w:t>
      </w:r>
      <w:proofErr w:type="gramStart"/>
      <w:r w:rsidR="00374BF1" w:rsidRPr="00F46A86">
        <w:rPr>
          <w:rFonts w:cs="Times New Roman"/>
        </w:rPr>
        <w:t>particular Term</w:t>
      </w:r>
      <w:proofErr w:type="gramEnd"/>
      <w:r w:rsidR="00374BF1" w:rsidRPr="00F46A86">
        <w:rPr>
          <w:rFonts w:cs="Times New Roman"/>
        </w:rPr>
        <w:t xml:space="preserve"> Sheet project.</w:t>
      </w:r>
      <w:r w:rsidRPr="00F46A86">
        <w:rPr>
          <w:rFonts w:cs="Times New Roman"/>
        </w:rPr>
        <w:t xml:space="preserve"> </w:t>
      </w:r>
    </w:p>
  </w:footnote>
  <w:footnote w:id="4">
    <w:p w14:paraId="5CC09CC8" w14:textId="1E0F5603" w:rsidR="009A7277" w:rsidRPr="00F46A86" w:rsidRDefault="009A7277">
      <w:pPr>
        <w:pStyle w:val="FootnoteText"/>
        <w:rPr>
          <w:rFonts w:cs="Times New Roman"/>
        </w:rPr>
      </w:pPr>
      <w:r w:rsidRPr="00F46A86">
        <w:rPr>
          <w:rStyle w:val="FootnoteReference"/>
          <w:rFonts w:cs="Times New Roman"/>
        </w:rPr>
        <w:footnoteRef/>
      </w:r>
      <w:r w:rsidRPr="00F46A86">
        <w:rPr>
          <w:rFonts w:cs="Times New Roman"/>
        </w:rPr>
        <w:t xml:space="preserve"> </w:t>
      </w:r>
      <w:r w:rsidR="00F21CBD" w:rsidRPr="00F46A86">
        <w:rPr>
          <w:rFonts w:cs="Times New Roman"/>
        </w:rPr>
        <w:t>For purposes of this Term Sheet</w:t>
      </w:r>
      <w:r w:rsidR="00AF4A3D" w:rsidRPr="00F46A86">
        <w:rPr>
          <w:rFonts w:cs="Times New Roman"/>
        </w:rPr>
        <w:t xml:space="preserve">, we have defined the RBF “multiple” or “cap” as a form of “Obligation”, which is customary for lending documents. </w:t>
      </w:r>
    </w:p>
  </w:footnote>
  <w:footnote w:id="5">
    <w:p w14:paraId="20EEE5A7" w14:textId="358FF95B" w:rsidR="00CB7F39" w:rsidRPr="00F46A86" w:rsidRDefault="00CB7F39">
      <w:pPr>
        <w:pStyle w:val="FootnoteText"/>
        <w:rPr>
          <w:rFonts w:cs="Times New Roman"/>
        </w:rPr>
      </w:pPr>
      <w:r w:rsidRPr="00F46A86">
        <w:rPr>
          <w:rStyle w:val="FootnoteReference"/>
          <w:rFonts w:cs="Times New Roman"/>
        </w:rPr>
        <w:footnoteRef/>
      </w:r>
      <w:r w:rsidRPr="00F46A86">
        <w:rPr>
          <w:rFonts w:cs="Times New Roman"/>
        </w:rPr>
        <w:t xml:space="preserve"> </w:t>
      </w:r>
      <w:r w:rsidR="00DA7DF3" w:rsidRPr="00F46A86">
        <w:rPr>
          <w:rFonts w:cs="Times New Roman"/>
        </w:rPr>
        <w:t xml:space="preserve">A Lender may charge a structuring fee, </w:t>
      </w:r>
      <w:r w:rsidRPr="00F46A86">
        <w:rPr>
          <w:rFonts w:cs="Times New Roman"/>
        </w:rPr>
        <w:t>closing fee</w:t>
      </w:r>
      <w:r w:rsidR="00DA7DF3" w:rsidRPr="00F46A86">
        <w:rPr>
          <w:rFonts w:cs="Times New Roman"/>
        </w:rPr>
        <w:t>,</w:t>
      </w:r>
      <w:r w:rsidRPr="00F46A86">
        <w:rPr>
          <w:rFonts w:cs="Times New Roman"/>
        </w:rPr>
        <w:t xml:space="preserve"> or upfront fee</w:t>
      </w:r>
      <w:r w:rsidR="00835E7D" w:rsidRPr="00F46A86">
        <w:rPr>
          <w:rFonts w:cs="Times New Roman"/>
        </w:rPr>
        <w:t xml:space="preserve"> which may be deducted from the Loan Amount at disbursement</w:t>
      </w:r>
      <w:r w:rsidR="009F79AB" w:rsidRPr="00F46A86">
        <w:rPr>
          <w:rFonts w:cs="Times New Roman"/>
        </w:rPr>
        <w:t xml:space="preserve"> or included in a repayment obligation at maturity</w:t>
      </w:r>
      <w:r w:rsidRPr="00F46A86">
        <w:rPr>
          <w:rFonts w:cs="Times New Roman"/>
        </w:rPr>
        <w:t xml:space="preserve">. </w:t>
      </w:r>
    </w:p>
  </w:footnote>
  <w:footnote w:id="6">
    <w:p w14:paraId="7E7A8E82" w14:textId="4F30E585" w:rsidR="00A20E8A" w:rsidRPr="00F46A86" w:rsidRDefault="00A20E8A" w:rsidP="00484CA2">
      <w:pPr>
        <w:rPr>
          <w:rFonts w:cs="Times New Roman"/>
          <w:sz w:val="20"/>
          <w:szCs w:val="20"/>
        </w:rPr>
      </w:pPr>
      <w:r w:rsidRPr="00F46A86">
        <w:rPr>
          <w:rStyle w:val="FootnoteReference"/>
          <w:rFonts w:cs="Times New Roman"/>
          <w:sz w:val="20"/>
          <w:szCs w:val="20"/>
        </w:rPr>
        <w:footnoteRef/>
      </w:r>
      <w:r w:rsidRPr="00F46A86">
        <w:rPr>
          <w:rFonts w:cs="Times New Roman"/>
          <w:sz w:val="20"/>
          <w:szCs w:val="20"/>
        </w:rPr>
        <w:t xml:space="preserve"> </w:t>
      </w:r>
      <w:r w:rsidR="00AF4A3D" w:rsidRPr="00F46A86">
        <w:rPr>
          <w:rFonts w:cs="Times New Roman"/>
          <w:sz w:val="20"/>
          <w:szCs w:val="20"/>
        </w:rPr>
        <w:t xml:space="preserve">In addition to acceleration of the maturity of the RBL Obligations, the parties may contract for other remedies upon an Event of Default, such as a Board observer seat or conversion of the RBL into equity. See the discussion of Optional Terms included at the end of this Term Sheet. </w:t>
      </w:r>
      <w:r w:rsidRPr="00F46A86">
        <w:rPr>
          <w:rFonts w:cs="Times New Roman"/>
          <w:sz w:val="20"/>
          <w:szCs w:val="20"/>
        </w:rPr>
        <w:t xml:space="preserve"> </w:t>
      </w:r>
    </w:p>
  </w:footnote>
  <w:footnote w:id="7">
    <w:p w14:paraId="1FA77A8C" w14:textId="52F227ED" w:rsidR="00781F84" w:rsidRPr="00F46A86" w:rsidRDefault="00781F84">
      <w:pPr>
        <w:pStyle w:val="FootnoteText"/>
        <w:rPr>
          <w:rFonts w:cs="Times New Roman"/>
        </w:rPr>
      </w:pPr>
      <w:r w:rsidRPr="00F46A86">
        <w:rPr>
          <w:rStyle w:val="FootnoteReference"/>
          <w:rFonts w:cs="Times New Roman"/>
        </w:rPr>
        <w:footnoteRef/>
      </w:r>
      <w:r w:rsidRPr="00F46A86">
        <w:rPr>
          <w:rFonts w:cs="Times New Roman"/>
        </w:rPr>
        <w:t xml:space="preserve"> </w:t>
      </w:r>
      <w:r w:rsidR="00406F1B" w:rsidRPr="00F46A86">
        <w:rPr>
          <w:rFonts w:cs="Times New Roman"/>
        </w:rPr>
        <w:t>The economic structure of the RBL would discourage a borrower from making optional prepayments. Without a discounted multiple for prepayment (</w:t>
      </w:r>
      <w:r w:rsidR="00406F1B" w:rsidRPr="00F46A86">
        <w:rPr>
          <w:rFonts w:cs="Times New Roman"/>
          <w:i/>
          <w:iCs/>
        </w:rPr>
        <w:t>see RBL Obligation Adjustments</w:t>
      </w:r>
      <w:r w:rsidR="00406F1B" w:rsidRPr="00F46A86">
        <w:rPr>
          <w:rFonts w:cs="Times New Roman"/>
        </w:rPr>
        <w:t xml:space="preserve">), optional prepayments increase the cost of capital for a borrower. </w:t>
      </w:r>
    </w:p>
  </w:footnote>
  <w:footnote w:id="8">
    <w:p w14:paraId="01B8E911" w14:textId="165A7750" w:rsidR="001E2D6C" w:rsidRPr="00F46A86" w:rsidRDefault="001E2D6C">
      <w:pPr>
        <w:pStyle w:val="FootnoteText"/>
        <w:rPr>
          <w:rFonts w:cs="Times New Roman"/>
        </w:rPr>
      </w:pPr>
      <w:r w:rsidRPr="00F46A86">
        <w:rPr>
          <w:rStyle w:val="FootnoteReference"/>
          <w:rFonts w:cs="Times New Roman"/>
        </w:rPr>
        <w:footnoteRef/>
      </w:r>
      <w:r w:rsidRPr="00F46A86">
        <w:rPr>
          <w:rFonts w:cs="Times New Roman"/>
        </w:rPr>
        <w:t xml:space="preserve"> </w:t>
      </w:r>
      <w:r w:rsidR="003567FD" w:rsidRPr="00F46A86">
        <w:rPr>
          <w:rFonts w:cs="Times New Roman"/>
        </w:rPr>
        <w:t>A</w:t>
      </w:r>
      <w:r w:rsidR="00FC786A" w:rsidRPr="00F46A86">
        <w:rPr>
          <w:rFonts w:cs="Times New Roman"/>
        </w:rPr>
        <w:t>n RBL could</w:t>
      </w:r>
      <w:r w:rsidRPr="00F46A86">
        <w:rPr>
          <w:rFonts w:cs="Times New Roman"/>
        </w:rPr>
        <w:t xml:space="preserve"> also include </w:t>
      </w:r>
      <w:r w:rsidR="00FC786A" w:rsidRPr="00F46A86">
        <w:rPr>
          <w:rFonts w:cs="Times New Roman"/>
        </w:rPr>
        <w:t xml:space="preserve">a </w:t>
      </w:r>
      <w:r w:rsidR="00C8279B" w:rsidRPr="00F46A86">
        <w:rPr>
          <w:rFonts w:cs="Times New Roman"/>
        </w:rPr>
        <w:t>straight-line</w:t>
      </w:r>
      <w:r w:rsidR="00FC786A" w:rsidRPr="00F46A86">
        <w:rPr>
          <w:rFonts w:cs="Times New Roman"/>
        </w:rPr>
        <w:t xml:space="preserve"> interest rate payment </w:t>
      </w:r>
      <w:r w:rsidR="003567FD" w:rsidRPr="00F46A86">
        <w:rPr>
          <w:rFonts w:cs="Times New Roman"/>
        </w:rPr>
        <w:t xml:space="preserve">or amortization </w:t>
      </w:r>
      <w:r w:rsidR="00FC786A" w:rsidRPr="00F46A86">
        <w:rPr>
          <w:rFonts w:cs="Times New Roman"/>
        </w:rPr>
        <w:t>mechanism</w:t>
      </w:r>
      <w:r w:rsidR="003567FD" w:rsidRPr="00F46A86">
        <w:rPr>
          <w:rFonts w:cs="Times New Roman"/>
        </w:rPr>
        <w:t xml:space="preserve"> in addition to contingent revenue payments. </w:t>
      </w:r>
      <w:r w:rsidR="00657231" w:rsidRPr="00F46A86">
        <w:rPr>
          <w:rFonts w:cs="Times New Roman"/>
        </w:rPr>
        <w:t>This structure would mimic a traditional loan with an additional mandatory prepayment such as an “excess cash flow sweep”. An RBL may also include</w:t>
      </w:r>
      <w:r w:rsidR="00FC786A" w:rsidRPr="00F46A86">
        <w:rPr>
          <w:rFonts w:cs="Times New Roman"/>
        </w:rPr>
        <w:t xml:space="preserve"> </w:t>
      </w:r>
      <w:r w:rsidRPr="00F46A86">
        <w:rPr>
          <w:rFonts w:cs="Times New Roman"/>
        </w:rPr>
        <w:t xml:space="preserve">a </w:t>
      </w:r>
      <w:r w:rsidR="0095515D" w:rsidRPr="00F46A86">
        <w:rPr>
          <w:rFonts w:cs="Times New Roman"/>
        </w:rPr>
        <w:t xml:space="preserve">minimum and/or </w:t>
      </w:r>
      <w:r w:rsidRPr="00F46A86">
        <w:rPr>
          <w:rFonts w:cs="Times New Roman"/>
        </w:rPr>
        <w:t xml:space="preserve">maximum payment for </w:t>
      </w:r>
      <w:r w:rsidR="0095515D" w:rsidRPr="00F46A86">
        <w:rPr>
          <w:rFonts w:cs="Times New Roman"/>
        </w:rPr>
        <w:t xml:space="preserve">each </w:t>
      </w:r>
      <w:r w:rsidRPr="00F46A86">
        <w:rPr>
          <w:rFonts w:cs="Times New Roman"/>
        </w:rPr>
        <w:t>payment period.</w:t>
      </w:r>
      <w:r w:rsidR="00A51328" w:rsidRPr="00F46A86">
        <w:rPr>
          <w:rFonts w:cs="Times New Roman"/>
        </w:rPr>
        <w:t xml:space="preserve"> </w:t>
      </w:r>
      <w:r w:rsidR="00657231" w:rsidRPr="00F46A86">
        <w:rPr>
          <w:rFonts w:cs="Times New Roman"/>
        </w:rPr>
        <w:t xml:space="preserve">See, for example, the Revenue Floor description in the Optional Terms section of this Term Sheet. </w:t>
      </w:r>
    </w:p>
  </w:footnote>
  <w:footnote w:id="9">
    <w:p w14:paraId="36ECA891" w14:textId="4B1C6388" w:rsidR="00AB2A9F" w:rsidRPr="00F46A86" w:rsidRDefault="00AB2A9F">
      <w:pPr>
        <w:pStyle w:val="FootnoteText"/>
        <w:rPr>
          <w:rFonts w:cs="Times New Roman"/>
        </w:rPr>
      </w:pPr>
      <w:r w:rsidRPr="00F46A86">
        <w:rPr>
          <w:rStyle w:val="FootnoteReference"/>
          <w:rFonts w:cs="Times New Roman"/>
        </w:rPr>
        <w:footnoteRef/>
      </w:r>
      <w:r w:rsidRPr="00F46A86">
        <w:rPr>
          <w:rFonts w:cs="Times New Roman"/>
        </w:rPr>
        <w:t xml:space="preserve"> </w:t>
      </w:r>
      <w:r w:rsidR="005158F3" w:rsidRPr="00F46A86">
        <w:rPr>
          <w:rFonts w:cs="Times New Roman"/>
        </w:rPr>
        <w:t xml:space="preserve">The revenue payment obligation may </w:t>
      </w:r>
      <w:r w:rsidR="00ED3B4B" w:rsidRPr="00F46A86">
        <w:rPr>
          <w:rFonts w:cs="Times New Roman"/>
        </w:rPr>
        <w:t xml:space="preserve">begin in the first payment period following the Closing Date, deferred to a particular date in the future, </w:t>
      </w:r>
      <w:r w:rsidR="00AC654F" w:rsidRPr="00F46A86">
        <w:rPr>
          <w:rFonts w:cs="Times New Roman"/>
        </w:rPr>
        <w:t xml:space="preserve">or contingent on the Company meeting </w:t>
      </w:r>
      <w:proofErr w:type="gramStart"/>
      <w:r w:rsidR="00AC654F" w:rsidRPr="00F46A86">
        <w:rPr>
          <w:rFonts w:cs="Times New Roman"/>
        </w:rPr>
        <w:t>particular revenue</w:t>
      </w:r>
      <w:proofErr w:type="gramEnd"/>
      <w:r w:rsidR="00AC654F" w:rsidRPr="00F46A86">
        <w:rPr>
          <w:rFonts w:cs="Times New Roman"/>
        </w:rPr>
        <w:t xml:space="preserve"> or other financial metrics. </w:t>
      </w:r>
      <w:r w:rsidR="00C82B0F">
        <w:rPr>
          <w:rFonts w:cs="Times New Roman"/>
        </w:rPr>
        <w:t>While a</w:t>
      </w:r>
      <w:r w:rsidR="005158F3" w:rsidRPr="00C82B0F">
        <w:rPr>
          <w:rFonts w:cs="Times New Roman"/>
        </w:rPr>
        <w:t xml:space="preserve"> “h</w:t>
      </w:r>
      <w:r w:rsidRPr="00C82B0F">
        <w:rPr>
          <w:rFonts w:cs="Times New Roman"/>
        </w:rPr>
        <w:t>oneymoon period</w:t>
      </w:r>
      <w:r w:rsidR="005158F3" w:rsidRPr="00C82B0F">
        <w:rPr>
          <w:rFonts w:cs="Times New Roman"/>
        </w:rPr>
        <w:t>”</w:t>
      </w:r>
      <w:r w:rsidR="00F30AC2" w:rsidRPr="00C82B0F">
        <w:rPr>
          <w:rFonts w:cs="Times New Roman"/>
        </w:rPr>
        <w:t xml:space="preserve">, </w:t>
      </w:r>
      <w:r w:rsidR="00C82B0F" w:rsidRPr="00C82B0F">
        <w:rPr>
          <w:rFonts w:cs="Times New Roman"/>
        </w:rPr>
        <w:t>will likely</w:t>
      </w:r>
      <w:r w:rsidR="00AC654F" w:rsidRPr="00C82B0F">
        <w:rPr>
          <w:rFonts w:cs="Times New Roman"/>
        </w:rPr>
        <w:t xml:space="preserve"> require certain tax treatment regarding Original Issue Discount</w:t>
      </w:r>
      <w:r w:rsidR="00C82B0F">
        <w:rPr>
          <w:rFonts w:cs="Times New Roman"/>
        </w:rPr>
        <w:t>, we see a delayed start to payments to ensure affordability as best practices for these instruments.</w:t>
      </w:r>
    </w:p>
  </w:footnote>
  <w:footnote w:id="10">
    <w:p w14:paraId="7F33351E" w14:textId="7415A2AB" w:rsidR="00F46A86" w:rsidRDefault="00F46A86">
      <w:pPr>
        <w:pStyle w:val="FootnoteText"/>
      </w:pPr>
      <w:r>
        <w:rPr>
          <w:rStyle w:val="FootnoteReference"/>
        </w:rPr>
        <w:footnoteRef/>
      </w:r>
      <w:r>
        <w:t xml:space="preserve"> </w:t>
      </w:r>
      <w:r w:rsidRPr="00536C96">
        <w:t>This definition is included as an example only, and we expect the parties will negotiate a specific definition that makes sense based on the Company’s business and operations on a case-by-case basis. See also the discussion of Available Redemption Funds and related definitions in the RBF (Equity Style) Redeemable Preferred Term Sheet</w:t>
      </w:r>
      <w:r>
        <w:t>.</w:t>
      </w:r>
    </w:p>
  </w:footnote>
  <w:footnote w:id="11">
    <w:p w14:paraId="7D563D47" w14:textId="4BB5F78E" w:rsidR="00C90B42" w:rsidRPr="00F46A86" w:rsidRDefault="00C90B42">
      <w:pPr>
        <w:pStyle w:val="FootnoteText"/>
        <w:rPr>
          <w:rFonts w:cs="Times New Roman"/>
        </w:rPr>
      </w:pPr>
      <w:r w:rsidRPr="00F46A86">
        <w:rPr>
          <w:rStyle w:val="FootnoteReference"/>
          <w:rFonts w:cs="Times New Roman"/>
        </w:rPr>
        <w:footnoteRef/>
      </w:r>
      <w:r w:rsidRPr="00F46A86">
        <w:rPr>
          <w:rFonts w:cs="Times New Roman"/>
        </w:rPr>
        <w:t xml:space="preserve"> This Term Sheet includes a detailed list of Conditions Precedent. For a “short form” term sheet, the description of Conditions Precedent could be limited to “</w:t>
      </w:r>
      <w:r w:rsidRPr="00F46A86">
        <w:rPr>
          <w:rFonts w:eastAsia="Times New Roman" w:cs="Times New Roman"/>
        </w:rPr>
        <w:t>Conditions precedent as are usual and customary for facilities of this kind.”</w:t>
      </w:r>
    </w:p>
  </w:footnote>
  <w:footnote w:id="12">
    <w:p w14:paraId="20D0FD25" w14:textId="08D59128" w:rsidR="00EF426E" w:rsidRPr="00F46A86" w:rsidRDefault="00EF426E">
      <w:pPr>
        <w:pStyle w:val="FootnoteText"/>
        <w:rPr>
          <w:rFonts w:cs="Times New Roman"/>
        </w:rPr>
      </w:pPr>
      <w:r w:rsidRPr="00F46A86">
        <w:rPr>
          <w:rStyle w:val="FootnoteReference"/>
          <w:rFonts w:cs="Times New Roman"/>
        </w:rPr>
        <w:footnoteRef/>
      </w:r>
      <w:r w:rsidRPr="00F46A86">
        <w:rPr>
          <w:rFonts w:cs="Times New Roman"/>
        </w:rPr>
        <w:t xml:space="preserve"> For RBL, the diligence would typically include a detailed budget, revenue projections over the tenor of the RBL, and anticipated use of proceeds. </w:t>
      </w:r>
    </w:p>
  </w:footnote>
  <w:footnote w:id="13">
    <w:p w14:paraId="6C38B01B" w14:textId="0A1CAF48" w:rsidR="00526283" w:rsidRPr="006362E0" w:rsidRDefault="00526283" w:rsidP="006362E0">
      <w:pPr>
        <w:rPr>
          <w:rFonts w:eastAsia="Times New Roman" w:cs="Times New Roman"/>
          <w:color w:val="000000"/>
          <w:sz w:val="20"/>
          <w:szCs w:val="20"/>
        </w:rPr>
      </w:pPr>
      <w:r w:rsidRPr="00F46A86">
        <w:rPr>
          <w:rStyle w:val="FootnoteReference"/>
          <w:rFonts w:cs="Times New Roman"/>
          <w:sz w:val="20"/>
          <w:szCs w:val="20"/>
        </w:rPr>
        <w:footnoteRef/>
      </w:r>
      <w:r w:rsidRPr="00F46A86">
        <w:rPr>
          <w:rFonts w:cs="Times New Roman"/>
          <w:sz w:val="20"/>
          <w:szCs w:val="20"/>
        </w:rPr>
        <w:t xml:space="preserve"> </w:t>
      </w:r>
      <w:r w:rsidR="00C90B42" w:rsidRPr="00F46A86">
        <w:rPr>
          <w:rFonts w:cs="Times New Roman"/>
          <w:sz w:val="20"/>
          <w:szCs w:val="20"/>
        </w:rPr>
        <w:t>This Term Sheet includes a detailed list of Representations and Warranties of the Company. For a “short form” term sheet, the description of Representations and Warranties could be limited to “</w:t>
      </w:r>
      <w:r w:rsidR="00C90B42" w:rsidRPr="00F46A86">
        <w:rPr>
          <w:rFonts w:eastAsia="Times New Roman" w:cs="Times New Roman"/>
          <w:sz w:val="20"/>
          <w:szCs w:val="20"/>
        </w:rPr>
        <w:t xml:space="preserve">Representations and warranties by the Company as are usual and customary for facilities of this kind.” </w:t>
      </w:r>
      <w:r w:rsidR="0078640A" w:rsidRPr="00F46A86">
        <w:rPr>
          <w:rFonts w:cs="Times New Roman"/>
          <w:sz w:val="20"/>
          <w:szCs w:val="20"/>
        </w:rPr>
        <w:t xml:space="preserve">Additional categories of Representations may </w:t>
      </w:r>
      <w:proofErr w:type="gramStart"/>
      <w:r w:rsidR="0078640A" w:rsidRPr="00F46A86">
        <w:rPr>
          <w:rFonts w:cs="Times New Roman"/>
          <w:sz w:val="20"/>
          <w:szCs w:val="20"/>
        </w:rPr>
        <w:t>include:</w:t>
      </w:r>
      <w:proofErr w:type="gramEnd"/>
      <w:r w:rsidR="0078640A" w:rsidRPr="00F46A86">
        <w:rPr>
          <w:rFonts w:cs="Times New Roman"/>
          <w:sz w:val="20"/>
          <w:szCs w:val="20"/>
        </w:rPr>
        <w:t xml:space="preserve"> </w:t>
      </w:r>
      <w:r w:rsidR="0078640A" w:rsidRPr="00F46A86">
        <w:rPr>
          <w:rFonts w:eastAsia="Times New Roman" w:cs="Times New Roman"/>
          <w:color w:val="000000"/>
          <w:sz w:val="20"/>
          <w:szCs w:val="20"/>
        </w:rPr>
        <w:t>Labor Matters</w:t>
      </w:r>
      <w:r w:rsidR="004E4768">
        <w:rPr>
          <w:rFonts w:eastAsia="Times New Roman" w:cs="Times New Roman"/>
          <w:color w:val="000000"/>
          <w:sz w:val="20"/>
          <w:szCs w:val="20"/>
        </w:rPr>
        <w:t xml:space="preserve">, </w:t>
      </w:r>
      <w:r w:rsidR="0078640A" w:rsidRPr="00F46A86">
        <w:rPr>
          <w:rFonts w:eastAsia="Times New Roman" w:cs="Times New Roman"/>
          <w:color w:val="000000"/>
          <w:sz w:val="20"/>
          <w:szCs w:val="20"/>
        </w:rPr>
        <w:t>ERISA</w:t>
      </w:r>
      <w:r w:rsidR="004E4768">
        <w:rPr>
          <w:rFonts w:eastAsia="Times New Roman" w:cs="Times New Roman"/>
          <w:color w:val="000000"/>
          <w:sz w:val="20"/>
          <w:szCs w:val="20"/>
        </w:rPr>
        <w:t xml:space="preserve">, </w:t>
      </w:r>
      <w:r w:rsidR="0078640A" w:rsidRPr="00F46A86">
        <w:rPr>
          <w:rFonts w:eastAsia="Times New Roman" w:cs="Times New Roman"/>
          <w:color w:val="000000"/>
          <w:sz w:val="20"/>
          <w:szCs w:val="20"/>
        </w:rPr>
        <w:t>Margin Regulations</w:t>
      </w:r>
      <w:r w:rsidR="004E4768">
        <w:rPr>
          <w:rFonts w:eastAsia="Times New Roman" w:cs="Times New Roman"/>
          <w:color w:val="000000"/>
          <w:sz w:val="20"/>
          <w:szCs w:val="20"/>
        </w:rPr>
        <w:t xml:space="preserve">, </w:t>
      </w:r>
      <w:r w:rsidR="0078640A" w:rsidRPr="00F46A86">
        <w:rPr>
          <w:rFonts w:eastAsia="Times New Roman" w:cs="Times New Roman"/>
          <w:color w:val="000000"/>
          <w:sz w:val="20"/>
          <w:szCs w:val="20"/>
        </w:rPr>
        <w:t>Investment Company Act</w:t>
      </w:r>
      <w:r w:rsidR="004E4768">
        <w:rPr>
          <w:rFonts w:eastAsia="Times New Roman" w:cs="Times New Roman"/>
          <w:color w:val="000000"/>
          <w:sz w:val="20"/>
          <w:szCs w:val="20"/>
        </w:rPr>
        <w:t xml:space="preserve">, </w:t>
      </w:r>
      <w:r w:rsidR="0078640A" w:rsidRPr="00F46A86">
        <w:rPr>
          <w:rFonts w:eastAsia="Times New Roman" w:cs="Times New Roman"/>
          <w:color w:val="000000"/>
          <w:sz w:val="20"/>
          <w:szCs w:val="20"/>
        </w:rPr>
        <w:t>Security</w:t>
      </w:r>
      <w:r w:rsidR="004E4768">
        <w:rPr>
          <w:rFonts w:eastAsia="Times New Roman" w:cs="Times New Roman"/>
          <w:color w:val="000000"/>
          <w:sz w:val="20"/>
          <w:szCs w:val="20"/>
        </w:rPr>
        <w:t xml:space="preserve">, </w:t>
      </w:r>
      <w:r w:rsidR="0078640A" w:rsidRPr="00F46A86">
        <w:rPr>
          <w:rFonts w:eastAsia="Times New Roman" w:cs="Times New Roman"/>
          <w:color w:val="000000"/>
          <w:sz w:val="20"/>
          <w:szCs w:val="20"/>
        </w:rPr>
        <w:t>Solvency</w:t>
      </w:r>
      <w:r w:rsidR="004E4768">
        <w:rPr>
          <w:rFonts w:eastAsia="Times New Roman" w:cs="Times New Roman"/>
          <w:color w:val="000000"/>
          <w:sz w:val="20"/>
          <w:szCs w:val="20"/>
        </w:rPr>
        <w:t>.</w:t>
      </w:r>
    </w:p>
  </w:footnote>
  <w:footnote w:id="14">
    <w:p w14:paraId="76A7FDB3" w14:textId="50A7BDEE" w:rsidR="001E2D6C" w:rsidRPr="00F46A86" w:rsidRDefault="001E2D6C">
      <w:pPr>
        <w:pStyle w:val="FootnoteText"/>
        <w:rPr>
          <w:rFonts w:cs="Times New Roman"/>
        </w:rPr>
      </w:pPr>
      <w:r w:rsidRPr="00F46A86">
        <w:rPr>
          <w:rStyle w:val="FootnoteReference"/>
          <w:rFonts w:cs="Times New Roman"/>
        </w:rPr>
        <w:footnoteRef/>
      </w:r>
      <w:r w:rsidRPr="00F46A86">
        <w:rPr>
          <w:rFonts w:cs="Times New Roman"/>
        </w:rPr>
        <w:t xml:space="preserve"> </w:t>
      </w:r>
      <w:r w:rsidR="00C90B42" w:rsidRPr="00F46A86">
        <w:rPr>
          <w:rFonts w:cs="Times New Roman"/>
        </w:rPr>
        <w:t>This Term Sheet includes a detailed list of Affirmative and Negative Covenants. For a “short form” term sheet, the description of Covenants could be limited to “</w:t>
      </w:r>
      <w:r w:rsidR="00BE08CC" w:rsidRPr="00F46A86">
        <w:rPr>
          <w:rFonts w:eastAsia="Times New Roman" w:cs="Times New Roman"/>
        </w:rPr>
        <w:t>Affirmative and negative covenants as are usual and customary for facilities of this kind</w:t>
      </w:r>
      <w:r w:rsidR="00C90B42" w:rsidRPr="00F46A86">
        <w:rPr>
          <w:rFonts w:eastAsia="Times New Roman" w:cs="Times New Roman"/>
        </w:rPr>
        <w:t>.”</w:t>
      </w:r>
      <w:r w:rsidR="00526283" w:rsidRPr="00F46A86" w:rsidDel="00526177">
        <w:rPr>
          <w:rFonts w:cs="Times New Roman"/>
        </w:rPr>
        <w:t xml:space="preserve"> </w:t>
      </w:r>
      <w:r w:rsidR="00526177" w:rsidRPr="00F46A86">
        <w:rPr>
          <w:rFonts w:cs="Times New Roman"/>
        </w:rPr>
        <w:t>RBL Agreements typically include a limited set of covenants</w:t>
      </w:r>
      <w:r w:rsidR="004E4768">
        <w:rPr>
          <w:rFonts w:cs="Times New Roman"/>
        </w:rPr>
        <w:t>, however, Lenders accustomed to making traditional loans may prefer to adapt their own loan documentation, including a more fulsome set of covenants</w:t>
      </w:r>
      <w:r w:rsidRPr="00F46A86">
        <w:rPr>
          <w:rFonts w:cs="Times New Roman"/>
        </w:rPr>
        <w:t>.</w:t>
      </w:r>
    </w:p>
  </w:footnote>
  <w:footnote w:id="15">
    <w:p w14:paraId="26940F74" w14:textId="111D054A" w:rsidR="0064167F" w:rsidRPr="00F46A86" w:rsidRDefault="0064167F">
      <w:pPr>
        <w:pStyle w:val="FootnoteText"/>
        <w:rPr>
          <w:rFonts w:cs="Times New Roman"/>
        </w:rPr>
      </w:pPr>
      <w:r w:rsidRPr="00F46A86">
        <w:rPr>
          <w:rStyle w:val="FootnoteReference"/>
          <w:rFonts w:cs="Times New Roman"/>
        </w:rPr>
        <w:footnoteRef/>
      </w:r>
      <w:r w:rsidRPr="00F46A86">
        <w:rPr>
          <w:rFonts w:cs="Times New Roman"/>
        </w:rPr>
        <w:t xml:space="preserve"> </w:t>
      </w:r>
      <w:r w:rsidR="00943463">
        <w:rPr>
          <w:rFonts w:cs="Times New Roman"/>
        </w:rPr>
        <w:t>Financial covenants are n</w:t>
      </w:r>
      <w:r w:rsidRPr="00F46A86">
        <w:rPr>
          <w:rFonts w:cs="Times New Roman"/>
        </w:rPr>
        <w:t>ot typical for RBL</w:t>
      </w:r>
      <w:r w:rsidR="00715F9C" w:rsidRPr="00F46A86">
        <w:rPr>
          <w:rFonts w:cs="Times New Roman"/>
        </w:rPr>
        <w:t xml:space="preserve"> </w:t>
      </w:r>
      <w:r w:rsidR="00943463">
        <w:rPr>
          <w:rFonts w:cs="Times New Roman"/>
        </w:rPr>
        <w:t>a</w:t>
      </w:r>
      <w:r w:rsidR="00715F9C" w:rsidRPr="00F46A86">
        <w:rPr>
          <w:rFonts w:cs="Times New Roman"/>
        </w:rPr>
        <w:t xml:space="preserve">greements. </w:t>
      </w:r>
    </w:p>
  </w:footnote>
  <w:footnote w:id="16">
    <w:p w14:paraId="2EF15B95" w14:textId="6683CC36" w:rsidR="00BE08CC" w:rsidRPr="00F46A86" w:rsidRDefault="00BE08CC">
      <w:pPr>
        <w:pStyle w:val="FootnoteText"/>
        <w:rPr>
          <w:rFonts w:cs="Times New Roman"/>
        </w:rPr>
      </w:pPr>
      <w:r w:rsidRPr="00F46A86">
        <w:rPr>
          <w:rStyle w:val="FootnoteReference"/>
          <w:rFonts w:cs="Times New Roman"/>
        </w:rPr>
        <w:footnoteRef/>
      </w:r>
      <w:r w:rsidRPr="00F46A86">
        <w:rPr>
          <w:rFonts w:cs="Times New Roman"/>
        </w:rPr>
        <w:t xml:space="preserve"> This Term Sheet includes a detailed list of Events of Default. For a “short form” term sheet, the description of Events of Default could be limited to “</w:t>
      </w:r>
      <w:r w:rsidRPr="00F46A86">
        <w:rPr>
          <w:rFonts w:eastAsia="Times New Roman" w:cs="Times New Roman"/>
        </w:rPr>
        <w:t>Events of default as are usual and customary for facilities of this kind.”</w:t>
      </w:r>
    </w:p>
  </w:footnote>
  <w:footnote w:id="17">
    <w:p w14:paraId="15651775" w14:textId="403E73E5" w:rsidR="00A0739C" w:rsidRPr="00F46A86" w:rsidRDefault="00A0739C">
      <w:pPr>
        <w:pStyle w:val="FootnoteText"/>
        <w:rPr>
          <w:rFonts w:cs="Times New Roman"/>
        </w:rPr>
      </w:pPr>
      <w:r w:rsidRPr="00F46A86">
        <w:rPr>
          <w:rStyle w:val="FootnoteReference"/>
          <w:rFonts w:cs="Times New Roman"/>
        </w:rPr>
        <w:footnoteRef/>
      </w:r>
      <w:r w:rsidRPr="00F46A86">
        <w:rPr>
          <w:rFonts w:cs="Times New Roman"/>
        </w:rPr>
        <w:t xml:space="preserve"> </w:t>
      </w:r>
      <w:r w:rsidR="00BC264E">
        <w:rPr>
          <w:rFonts w:cs="Times New Roman"/>
        </w:rPr>
        <w:t>In traditional loan agreements, failure to making scheduled principal or interest payments trigger an Event of Default. However, for RBL, payments are tied to the revenue of the Company. The parties may negotiate an Event of Default when certain revenue targets (and therefore, revenue-based payments) are not met. For example, failure to generate revenue by a certain date, or a certain number of consecutive missed revenue payments/targets</w:t>
      </w:r>
      <w:r w:rsidRPr="00F46A86">
        <w:rPr>
          <w:rFonts w:cs="Times New Roman"/>
        </w:rPr>
        <w:t xml:space="preserve">. </w:t>
      </w:r>
    </w:p>
  </w:footnote>
  <w:footnote w:id="18">
    <w:p w14:paraId="501D1828" w14:textId="2BF076BC" w:rsidR="000D61F6" w:rsidRPr="00F46A86" w:rsidRDefault="000D61F6" w:rsidP="000D61F6">
      <w:pPr>
        <w:spacing w:before="120" w:after="120"/>
        <w:rPr>
          <w:rFonts w:cs="Times New Roman"/>
          <w:sz w:val="20"/>
          <w:szCs w:val="20"/>
        </w:rPr>
      </w:pPr>
      <w:r w:rsidRPr="00F46A86">
        <w:rPr>
          <w:rStyle w:val="FootnoteReference"/>
          <w:rFonts w:cs="Times New Roman"/>
          <w:sz w:val="20"/>
          <w:szCs w:val="20"/>
        </w:rPr>
        <w:footnoteRef/>
      </w:r>
      <w:r w:rsidRPr="00F46A86">
        <w:rPr>
          <w:rFonts w:cs="Times New Roman"/>
          <w:sz w:val="20"/>
          <w:szCs w:val="20"/>
        </w:rPr>
        <w:t xml:space="preserve"> Protecting the economic agreement of the parties against adverse usury enforcement is a frequent concern among revenue-based lenders. </w:t>
      </w:r>
      <w:r w:rsidR="00087318">
        <w:rPr>
          <w:rFonts w:cs="Times New Roman"/>
          <w:sz w:val="20"/>
          <w:szCs w:val="20"/>
        </w:rPr>
        <w:t xml:space="preserve">Usury definitions and enforcement are highly jurisdiction specific and interrelated to the regulatory environment or source of capital for each lender. For example, a lender providing RBL through Small Business Administration or other state or federal capital sources may be explicitly restricted from lending above a particular implied APR/APY. Although a full treatment of usury is </w:t>
      </w:r>
      <w:r w:rsidR="00EC07A5">
        <w:rPr>
          <w:rFonts w:cs="Times New Roman"/>
          <w:sz w:val="20"/>
          <w:szCs w:val="20"/>
        </w:rPr>
        <w:t>outside</w:t>
      </w:r>
      <w:r w:rsidR="00087318">
        <w:rPr>
          <w:rFonts w:cs="Times New Roman"/>
          <w:sz w:val="20"/>
          <w:szCs w:val="20"/>
        </w:rPr>
        <w:t xml:space="preserve"> the scope of this Term Sheet, we have included sample </w:t>
      </w:r>
      <w:r w:rsidRPr="00F46A86">
        <w:rPr>
          <w:rFonts w:cs="Times New Roman"/>
          <w:sz w:val="20"/>
          <w:szCs w:val="20"/>
        </w:rPr>
        <w:t xml:space="preserve">severability and interest rate limitation provisions. </w:t>
      </w:r>
      <w:r w:rsidR="00087318">
        <w:rPr>
          <w:rFonts w:cs="Times New Roman"/>
          <w:sz w:val="20"/>
          <w:szCs w:val="20"/>
        </w:rPr>
        <w:t xml:space="preserve">These provisions are customary in most commercial lending documentation and the interest rate provision included here contains additional nuance regarding the accounting treatment of interest payments, since an RBL Agreement would not include a stated interest rate. For lenders willing to reduce the multiple of an RBL to provide additional usury protection, see RBL Obligation Adjustments provision in the Optional Terms section of this Term Sheet. </w:t>
      </w:r>
      <w:r w:rsidRPr="00F46A86">
        <w:rPr>
          <w:rFonts w:cs="Times New Roman"/>
          <w:sz w:val="20"/>
          <w:szCs w:val="20"/>
        </w:rPr>
        <w:t xml:space="preserve"> </w:t>
      </w:r>
    </w:p>
    <w:p w14:paraId="36B33BDC" w14:textId="369F7CC8" w:rsidR="000D61F6" w:rsidRPr="00F46A86" w:rsidRDefault="000D61F6" w:rsidP="000D61F6">
      <w:pPr>
        <w:spacing w:before="120" w:after="120"/>
        <w:rPr>
          <w:rFonts w:eastAsia="Times New Roman" w:cs="Times New Roman"/>
          <w:sz w:val="20"/>
          <w:szCs w:val="20"/>
        </w:rPr>
      </w:pPr>
      <w:r w:rsidRPr="00F46A86">
        <w:rPr>
          <w:rFonts w:eastAsia="Times New Roman" w:cs="Times New Roman"/>
          <w:sz w:val="20"/>
          <w:szCs w:val="20"/>
        </w:rPr>
        <w:t>Severability: “In the event that any provision of this Agreement or the other Transaction Documents is found to be invalid or unenforceable, (a) the remaining provisions shall remain in full force and effect and (b) the parties shall endeavor in good faith negotiations to replace the invalid or unenforceable provisions with valid provisions the economic effect of which comes as close as possible to that of the invalid or unenforceable provisions.”</w:t>
      </w:r>
    </w:p>
    <w:p w14:paraId="657EC4E6" w14:textId="60ECC5AC" w:rsidR="000D61F6" w:rsidRPr="00F46A86" w:rsidRDefault="000D61F6" w:rsidP="00484CA2">
      <w:pPr>
        <w:spacing w:before="120" w:after="120"/>
        <w:rPr>
          <w:rFonts w:cs="Times New Roman"/>
          <w:sz w:val="20"/>
          <w:szCs w:val="20"/>
        </w:rPr>
      </w:pPr>
      <w:r w:rsidRPr="00F46A86">
        <w:rPr>
          <w:rFonts w:eastAsia="Times New Roman" w:cs="Times New Roman"/>
          <w:sz w:val="20"/>
          <w:szCs w:val="20"/>
        </w:rPr>
        <w:t xml:space="preserve">Interest Rate Limitation: “In the event that portions of the Company’s Monthly Payments are allocated as interest payments, and it is determined that the imputed rate of such interest allocations was </w:t>
      </w:r>
      <w:proofErr w:type="gramStart"/>
      <w:r w:rsidRPr="00F46A86">
        <w:rPr>
          <w:rFonts w:eastAsia="Times New Roman" w:cs="Times New Roman"/>
          <w:sz w:val="20"/>
          <w:szCs w:val="20"/>
        </w:rPr>
        <w:t>in excess of</w:t>
      </w:r>
      <w:proofErr w:type="gramEnd"/>
      <w:r w:rsidRPr="00F46A86">
        <w:rPr>
          <w:rFonts w:eastAsia="Times New Roman" w:cs="Times New Roman"/>
          <w:sz w:val="20"/>
          <w:szCs w:val="20"/>
        </w:rPr>
        <w:t xml:space="preserve"> the then-legal maximum rate, then that portion of the payment representing allocated interest in excess of the then legal maximum rates shall be deemed a payment of principal and applied against the Loaned Amount. In determining whether the imputed rate of interest contracted for, charged, or received by the Lender exceeds such maximum rate, the Lender may, to the extent permitted by applicable law, (a) characterize any payment that is not principal as an expense, fee, or premium rather than interest, (b) exclude voluntary prepayments and the effects thereof, and (c) amortize, prorate, allocate, and spread in equal or unequal parts the total amount of interest throughout the contemplated term of the Obligations hereunder.”</w:t>
      </w:r>
    </w:p>
  </w:footnote>
  <w:footnote w:id="19">
    <w:p w14:paraId="43DC88AA" w14:textId="1FA59173" w:rsidR="006B48CA" w:rsidRPr="00F46A86" w:rsidRDefault="006B48CA">
      <w:pPr>
        <w:pStyle w:val="FootnoteText"/>
        <w:rPr>
          <w:rFonts w:cs="Times New Roman"/>
        </w:rPr>
      </w:pPr>
      <w:r w:rsidRPr="00F46A86">
        <w:rPr>
          <w:rStyle w:val="FootnoteReference"/>
          <w:rFonts w:cs="Times New Roman"/>
        </w:rPr>
        <w:footnoteRef/>
      </w:r>
      <w:r w:rsidRPr="00F46A86">
        <w:rPr>
          <w:rFonts w:cs="Times New Roman"/>
        </w:rPr>
        <w:t xml:space="preserve"> </w:t>
      </w:r>
      <w:r w:rsidR="005E7078">
        <w:rPr>
          <w:rFonts w:cs="Times New Roman"/>
        </w:rPr>
        <w:t xml:space="preserve">Parties looking to structure assignments and participations as part of an RBL facility should seek additional tax and accounting advice regarding unique tax and accounting treatment of basis in RBF. </w:t>
      </w:r>
    </w:p>
  </w:footnote>
  <w:footnote w:id="20">
    <w:p w14:paraId="64CE268E" w14:textId="5D40E998" w:rsidR="00413A33" w:rsidRPr="00F46A86" w:rsidRDefault="00413A33">
      <w:pPr>
        <w:pStyle w:val="FootnoteText"/>
        <w:rPr>
          <w:rFonts w:cs="Times New Roman"/>
        </w:rPr>
      </w:pPr>
      <w:r w:rsidRPr="00F46A86">
        <w:rPr>
          <w:rStyle w:val="FootnoteReference"/>
          <w:rFonts w:cs="Times New Roman"/>
        </w:rPr>
        <w:footnoteRef/>
      </w:r>
      <w:r w:rsidRPr="00F46A86">
        <w:rPr>
          <w:rFonts w:cs="Times New Roman"/>
        </w:rPr>
        <w:t xml:space="preserve"> </w:t>
      </w:r>
      <w:r w:rsidR="005E7078">
        <w:rPr>
          <w:rFonts w:cs="Times New Roman"/>
        </w:rPr>
        <w:t xml:space="preserve">For purposes of this Term Sheet, we have assumed that a lender will have a preferred jurisdiction for governing law. Note that certain jurisdictions that are typically “lender friendly” or with well-developed case law on lending, such as New York, may also have licensing requirements and treatment of economic arrangements as usurious in smaller-dollar RBL Agreements. A full treatment of jurisdiction choice is outside of the scope of this Term Sheet project and would require a highly contextual evaluation of the parties and the proposed RBL. </w:t>
      </w:r>
      <w:r w:rsidR="007F0DC3" w:rsidRPr="00F46A86">
        <w:rPr>
          <w:rFonts w:cs="Times New Roman"/>
        </w:rPr>
        <w:t xml:space="preserve"> </w:t>
      </w:r>
    </w:p>
    <w:p w14:paraId="51F7EAB5" w14:textId="77777777" w:rsidR="007F0DC3" w:rsidRPr="00F46A86" w:rsidRDefault="007F0DC3">
      <w:pPr>
        <w:pStyle w:val="FootnoteText"/>
        <w:rPr>
          <w:rFonts w:cs="Times New Roman"/>
        </w:rPr>
      </w:pPr>
    </w:p>
  </w:footnote>
  <w:footnote w:id="21">
    <w:p w14:paraId="203D6141" w14:textId="151CB028" w:rsidR="00CD66F9" w:rsidRPr="00F46A86" w:rsidRDefault="00CD66F9" w:rsidP="006B093F">
      <w:pPr>
        <w:pStyle w:val="FootnoteText"/>
        <w:rPr>
          <w:rFonts w:cs="Times New Roman"/>
        </w:rPr>
      </w:pPr>
      <w:r w:rsidRPr="00F46A86">
        <w:rPr>
          <w:rStyle w:val="FootnoteReference"/>
          <w:rFonts w:cs="Times New Roman"/>
        </w:rPr>
        <w:footnoteRef/>
      </w:r>
      <w:r w:rsidRPr="00F46A86">
        <w:rPr>
          <w:rFonts w:cs="Times New Roman"/>
        </w:rPr>
        <w:t xml:space="preserve"> </w:t>
      </w:r>
      <w:r w:rsidR="00B03A12">
        <w:rPr>
          <w:rFonts w:cs="Times New Roman"/>
        </w:rPr>
        <w:t>A fixed maturity date is preferable to set economic expectations of the parties and to allow for appropriate tax and accounting treatment of the RBL. A Company may not meet the RBL Obligation prior to the maturity of the loan. Rather than requiring an amendment or waiver of any associated Event of Default, the parties may wish to structure one or more automatic</w:t>
      </w:r>
      <w:r w:rsidRPr="00F46A86">
        <w:rPr>
          <w:rFonts w:cs="Times New Roman"/>
        </w:rPr>
        <w:t xml:space="preserve"> pre-agreed extensions. </w:t>
      </w:r>
    </w:p>
  </w:footnote>
  <w:footnote w:id="22">
    <w:p w14:paraId="46A727C6" w14:textId="46D2CA13" w:rsidR="00B96364" w:rsidRPr="00F46A86" w:rsidRDefault="00B96364" w:rsidP="00B96364">
      <w:pPr>
        <w:pStyle w:val="FootnoteText"/>
        <w:rPr>
          <w:rFonts w:cs="Times New Roman"/>
        </w:rPr>
      </w:pPr>
      <w:r w:rsidRPr="00F46A86">
        <w:rPr>
          <w:rStyle w:val="FootnoteReference"/>
          <w:rFonts w:cs="Times New Roman"/>
        </w:rPr>
        <w:footnoteRef/>
      </w:r>
      <w:r w:rsidRPr="00F46A86">
        <w:rPr>
          <w:rFonts w:cs="Times New Roman"/>
        </w:rPr>
        <w:t xml:space="preserve"> The parties may agree to adjust the RBL Obligation/Multiple under certain circumstances. For example, to encourage high revenue growth and early prepayment, the multiple may be reduced based on the timing of prepayment. A reduced multiple would also protect the parties against usury concerns</w:t>
      </w:r>
      <w:r w:rsidR="00072C26">
        <w:rPr>
          <w:rFonts w:cs="Times New Roman"/>
        </w:rPr>
        <w:t xml:space="preserve"> or restrictions from capital sources</w:t>
      </w:r>
      <w:r w:rsidRPr="00F46A86">
        <w:rPr>
          <w:rFonts w:cs="Times New Roman"/>
        </w:rPr>
        <w:t xml:space="preserve"> where an effective APR/APY would </w:t>
      </w:r>
      <w:r w:rsidR="00487A79" w:rsidRPr="00F46A86">
        <w:rPr>
          <w:rFonts w:cs="Times New Roman"/>
        </w:rPr>
        <w:t>increase</w:t>
      </w:r>
      <w:r w:rsidRPr="00F46A86">
        <w:rPr>
          <w:rFonts w:cs="Times New Roman"/>
        </w:rPr>
        <w:t xml:space="preserve"> </w:t>
      </w:r>
      <w:r w:rsidR="00072C26">
        <w:rPr>
          <w:rFonts w:cs="Times New Roman"/>
        </w:rPr>
        <w:t>if</w:t>
      </w:r>
      <w:r w:rsidRPr="00F46A86">
        <w:rPr>
          <w:rFonts w:cs="Times New Roman"/>
        </w:rPr>
        <w:t xml:space="preserve"> </w:t>
      </w:r>
      <w:r w:rsidR="007F045B">
        <w:rPr>
          <w:rFonts w:cs="Times New Roman"/>
        </w:rPr>
        <w:t xml:space="preserve">the Company </w:t>
      </w:r>
      <w:r w:rsidRPr="00F46A86">
        <w:rPr>
          <w:rFonts w:cs="Times New Roman"/>
        </w:rPr>
        <w:t xml:space="preserve">meets the RBL Obligation prior to the maturity date. </w:t>
      </w:r>
      <w:r w:rsidR="00326BB7">
        <w:rPr>
          <w:rFonts w:cs="Times New Roman"/>
        </w:rPr>
        <w:t xml:space="preserve">This provision could be tailored to adjust the obligation only in certain instances. For example, the RBL Obligation could step down if paid early due to high revenue, but not where a borrower has a Change of Control or is seeking to refinance at a lower cost of capital. An RBL Obligation could increase in the event of a Change of Control, offering a lender upside in a sale of a Company. However, such an economic arrangement could cause a reevaluation of the “loan-like” treatment of the RBL to a “equity-like” characterization. </w:t>
      </w:r>
      <w:r>
        <w:rPr>
          <w:rFonts w:cs="Times New Roman"/>
        </w:rPr>
        <w:t>See</w:t>
      </w:r>
      <w:r w:rsidR="001E1C2C">
        <w:rPr>
          <w:rFonts w:cs="Times New Roman"/>
        </w:rPr>
        <w:t xml:space="preserve"> also</w:t>
      </w:r>
      <w:r>
        <w:rPr>
          <w:rFonts w:cs="Times New Roman"/>
        </w:rPr>
        <w:t xml:space="preserve"> the discussion regarding Economic Agreement and Usury Protection in the prior section of this Term Sheet. </w:t>
      </w:r>
    </w:p>
  </w:footnote>
  <w:footnote w:id="23">
    <w:p w14:paraId="6E8792E8" w14:textId="77777777" w:rsidR="00CD66F9" w:rsidRPr="00F46A86" w:rsidRDefault="00CD66F9" w:rsidP="006B093F">
      <w:pPr>
        <w:pStyle w:val="FootnoteText"/>
        <w:rPr>
          <w:rFonts w:cs="Times New Roman"/>
        </w:rPr>
      </w:pPr>
      <w:r w:rsidRPr="00F46A86">
        <w:rPr>
          <w:rStyle w:val="FootnoteReference"/>
          <w:rFonts w:cs="Times New Roman"/>
        </w:rPr>
        <w:footnoteRef/>
      </w:r>
      <w:r w:rsidRPr="00F46A86">
        <w:rPr>
          <w:rFonts w:cs="Times New Roman"/>
        </w:rPr>
        <w:t xml:space="preserve"> Note this definition may also be structured as an accounting calculation. For example, “in the event that the Company’s revenue exceeds two times the amount of liabilities payable during said payment period.”</w:t>
      </w:r>
    </w:p>
  </w:footnote>
  <w:footnote w:id="24">
    <w:p w14:paraId="250FA036" w14:textId="3188351B" w:rsidR="00CD66F9" w:rsidRPr="00F46A86" w:rsidRDefault="00CD66F9" w:rsidP="006B093F">
      <w:pPr>
        <w:pStyle w:val="FootnoteText"/>
        <w:rPr>
          <w:rFonts w:cs="Times New Roman"/>
        </w:rPr>
      </w:pPr>
      <w:r w:rsidRPr="00F46A86">
        <w:rPr>
          <w:rStyle w:val="FootnoteReference"/>
          <w:rFonts w:cs="Times New Roman"/>
        </w:rPr>
        <w:footnoteRef/>
      </w:r>
      <w:r w:rsidRPr="00F46A86">
        <w:rPr>
          <w:rFonts w:cs="Times New Roman"/>
        </w:rPr>
        <w:t xml:space="preserve"> RBL Agreements sit in a spectrum of financing relationships. Depending on the relationship, an RBL may require seniority and restrict a Borrower from assuming any other </w:t>
      </w:r>
      <w:proofErr w:type="spellStart"/>
      <w:r w:rsidRPr="00F46A86">
        <w:rPr>
          <w:rFonts w:cs="Times New Roman"/>
        </w:rPr>
        <w:t>pari</w:t>
      </w:r>
      <w:proofErr w:type="spellEnd"/>
      <w:r w:rsidRPr="00F46A86">
        <w:rPr>
          <w:rFonts w:cs="Times New Roman"/>
        </w:rPr>
        <w:t>-passu debt. Conversely, a more catalytic RBL may explicitly subordinate the RBL to future lenders</w:t>
      </w:r>
      <w:r w:rsidR="005E3327">
        <w:rPr>
          <w:rFonts w:cs="Times New Roman"/>
        </w:rPr>
        <w:t>, offering terms more akin to a convertible note, when paired with warrants or convertibility features</w:t>
      </w:r>
      <w:r w:rsidRPr="00F46A86">
        <w:rPr>
          <w:rFonts w:cs="Times New Roman"/>
        </w:rPr>
        <w:t>.</w:t>
      </w:r>
    </w:p>
  </w:footnote>
  <w:footnote w:id="25">
    <w:p w14:paraId="6381F834" w14:textId="509E54F1" w:rsidR="00CD66F9" w:rsidRPr="00F46A86" w:rsidRDefault="00CD66F9" w:rsidP="006B093F">
      <w:pPr>
        <w:pStyle w:val="FootnoteText"/>
        <w:rPr>
          <w:rFonts w:cs="Times New Roman"/>
        </w:rPr>
      </w:pPr>
      <w:r w:rsidRPr="00F46A86">
        <w:rPr>
          <w:rStyle w:val="FootnoteReference"/>
          <w:rFonts w:cs="Times New Roman"/>
        </w:rPr>
        <w:footnoteRef/>
      </w:r>
      <w:r w:rsidRPr="00F46A86">
        <w:rPr>
          <w:rFonts w:cs="Times New Roman"/>
        </w:rPr>
        <w:t xml:space="preserve"> </w:t>
      </w:r>
      <w:r w:rsidR="00896D6D">
        <w:rPr>
          <w:rFonts w:cs="Times New Roman"/>
        </w:rPr>
        <w:t xml:space="preserve">RBL Agreements are typically unsecured and not guaranteed. However, certain lenders moving from traditional senior-secured facilities into RBF investments, or lenders with </w:t>
      </w:r>
      <w:proofErr w:type="gramStart"/>
      <w:r w:rsidR="00896D6D">
        <w:rPr>
          <w:rFonts w:cs="Times New Roman"/>
        </w:rPr>
        <w:t>particular agreements</w:t>
      </w:r>
      <w:proofErr w:type="gramEnd"/>
      <w:r w:rsidR="00896D6D">
        <w:rPr>
          <w:rFonts w:cs="Times New Roman"/>
        </w:rPr>
        <w:t xml:space="preserve"> relating to their source of capital may use security and guarantees. A more venture-style lender may which to offer a covenant-lite agreement or “thin” documentation in exchange for a personal guarantee from a founder. </w:t>
      </w:r>
    </w:p>
  </w:footnote>
  <w:footnote w:id="26">
    <w:p w14:paraId="6871D56B" w14:textId="46F428F6" w:rsidR="00CD66F9" w:rsidRPr="00F46A86" w:rsidRDefault="00CD66F9">
      <w:pPr>
        <w:pStyle w:val="FootnoteText"/>
        <w:rPr>
          <w:rFonts w:cs="Times New Roman"/>
        </w:rPr>
      </w:pPr>
      <w:r w:rsidRPr="00F46A86">
        <w:rPr>
          <w:rStyle w:val="FootnoteReference"/>
          <w:rFonts w:cs="Times New Roman"/>
        </w:rPr>
        <w:footnoteRef/>
      </w:r>
      <w:r w:rsidRPr="00F46A86">
        <w:rPr>
          <w:rFonts w:cs="Times New Roman"/>
        </w:rPr>
        <w:t xml:space="preserve"> </w:t>
      </w:r>
      <w:r w:rsidR="007773ED">
        <w:rPr>
          <w:rFonts w:cs="Times New Roman"/>
        </w:rPr>
        <w:t xml:space="preserve">RBL lenders may wish to take an observer seat along with the investment or upon an Event of Default. Due to concerns regarding conflicting fiduciary duties and lender liability, RBL lenders do not typically take full board seats along with the </w:t>
      </w:r>
      <w:r w:rsidR="000679D8">
        <w:rPr>
          <w:rFonts w:cs="Times New Roman"/>
        </w:rPr>
        <w:t>investment</w:t>
      </w:r>
      <w:r w:rsidR="007773ED">
        <w:rPr>
          <w:rFonts w:cs="Times New Roman"/>
        </w:rPr>
        <w:t xml:space="preserve">. </w:t>
      </w:r>
    </w:p>
  </w:footnote>
  <w:footnote w:id="27">
    <w:p w14:paraId="368D49BB" w14:textId="405EAC91" w:rsidR="00CD66F9" w:rsidRPr="00F46A86" w:rsidRDefault="00CD66F9" w:rsidP="006B093F">
      <w:pPr>
        <w:rPr>
          <w:rFonts w:cs="Times New Roman"/>
          <w:sz w:val="20"/>
          <w:szCs w:val="20"/>
        </w:rPr>
      </w:pPr>
      <w:r w:rsidRPr="00F46A86">
        <w:rPr>
          <w:rStyle w:val="FootnoteReference"/>
          <w:rFonts w:cs="Times New Roman"/>
          <w:sz w:val="20"/>
          <w:szCs w:val="20"/>
        </w:rPr>
        <w:footnoteRef/>
      </w:r>
      <w:r w:rsidRPr="00F46A86">
        <w:rPr>
          <w:rFonts w:cs="Times New Roman"/>
          <w:sz w:val="20"/>
          <w:szCs w:val="20"/>
        </w:rPr>
        <w:t xml:space="preserve"> </w:t>
      </w:r>
      <w:r w:rsidRPr="00F46A86">
        <w:rPr>
          <w:rFonts w:eastAsia="Times New Roman" w:cs="Times New Roman"/>
          <w:sz w:val="20"/>
          <w:szCs w:val="20"/>
        </w:rPr>
        <w:t xml:space="preserve">For RBL </w:t>
      </w:r>
      <w:r w:rsidR="000679D8">
        <w:rPr>
          <w:rFonts w:eastAsia="Times New Roman" w:cs="Times New Roman"/>
          <w:sz w:val="20"/>
          <w:szCs w:val="20"/>
        </w:rPr>
        <w:t xml:space="preserve">Agreements </w:t>
      </w:r>
      <w:r w:rsidRPr="00F46A86">
        <w:rPr>
          <w:rFonts w:eastAsia="Times New Roman" w:cs="Times New Roman"/>
          <w:sz w:val="20"/>
          <w:szCs w:val="20"/>
        </w:rPr>
        <w:t xml:space="preserve">that tends toward </w:t>
      </w:r>
      <w:r w:rsidR="000679D8">
        <w:rPr>
          <w:rFonts w:eastAsia="Times New Roman" w:cs="Times New Roman"/>
          <w:sz w:val="20"/>
          <w:szCs w:val="20"/>
        </w:rPr>
        <w:t>“</w:t>
      </w:r>
      <w:r w:rsidRPr="00F46A86">
        <w:rPr>
          <w:rFonts w:eastAsia="Times New Roman" w:cs="Times New Roman"/>
          <w:sz w:val="20"/>
          <w:szCs w:val="20"/>
        </w:rPr>
        <w:t>equity-</w:t>
      </w:r>
      <w:r w:rsidR="000679D8">
        <w:rPr>
          <w:rFonts w:eastAsia="Times New Roman" w:cs="Times New Roman"/>
          <w:sz w:val="20"/>
          <w:szCs w:val="20"/>
        </w:rPr>
        <w:t>like”</w:t>
      </w:r>
      <w:r w:rsidRPr="00F46A86">
        <w:rPr>
          <w:rFonts w:eastAsia="Times New Roman" w:cs="Times New Roman"/>
          <w:sz w:val="20"/>
          <w:szCs w:val="20"/>
        </w:rPr>
        <w:t xml:space="preserve"> RBF, the </w:t>
      </w:r>
      <w:r w:rsidR="000679D8">
        <w:rPr>
          <w:rFonts w:eastAsia="Times New Roman" w:cs="Times New Roman"/>
          <w:sz w:val="20"/>
          <w:szCs w:val="20"/>
        </w:rPr>
        <w:t>investment</w:t>
      </w:r>
      <w:r w:rsidRPr="00F46A86">
        <w:rPr>
          <w:rFonts w:eastAsia="Times New Roman" w:cs="Times New Roman"/>
          <w:sz w:val="20"/>
          <w:szCs w:val="20"/>
        </w:rPr>
        <w:t xml:space="preserve"> could be considered a security under the Howey test</w:t>
      </w:r>
      <w:r w:rsidR="000679D8">
        <w:rPr>
          <w:rFonts w:eastAsia="Times New Roman" w:cs="Times New Roman"/>
          <w:sz w:val="20"/>
          <w:szCs w:val="20"/>
        </w:rPr>
        <w:t xml:space="preserve"> or state securities laws</w:t>
      </w:r>
      <w:r w:rsidRPr="00F46A86">
        <w:rPr>
          <w:rFonts w:eastAsia="Times New Roman" w:cs="Times New Roman"/>
          <w:sz w:val="20"/>
          <w:szCs w:val="20"/>
        </w:rPr>
        <w:t>. The parties may wish to include typical a typical securities legend and “investor” representations</w:t>
      </w:r>
      <w:r w:rsidR="000679D8">
        <w:rPr>
          <w:rFonts w:eastAsia="Times New Roman" w:cs="Times New Roman"/>
          <w:sz w:val="20"/>
          <w:szCs w:val="20"/>
        </w:rPr>
        <w:t xml:space="preserve"> to support an exempt private placement characterization of the investment</w:t>
      </w:r>
      <w:r w:rsidRPr="00F46A86">
        <w:rPr>
          <w:rFonts w:eastAsia="Times New Roman" w:cs="Times New Roman"/>
          <w:sz w:val="20"/>
          <w:szCs w:val="20"/>
        </w:rPr>
        <w:t xml:space="preserve">. </w:t>
      </w:r>
    </w:p>
  </w:footnote>
  <w:footnote w:id="28">
    <w:p w14:paraId="65525A81" w14:textId="01B7DCED" w:rsidR="00CD66F9" w:rsidRPr="00F46A86" w:rsidRDefault="00CD66F9" w:rsidP="006B093F">
      <w:pPr>
        <w:rPr>
          <w:rFonts w:cs="Times New Roman"/>
          <w:sz w:val="20"/>
          <w:szCs w:val="20"/>
        </w:rPr>
      </w:pPr>
      <w:r w:rsidRPr="00F46A86">
        <w:rPr>
          <w:rStyle w:val="FootnoteReference"/>
          <w:rFonts w:cs="Times New Roman"/>
          <w:sz w:val="20"/>
          <w:szCs w:val="20"/>
        </w:rPr>
        <w:footnoteRef/>
      </w:r>
      <w:r w:rsidRPr="00F46A86">
        <w:rPr>
          <w:rFonts w:cs="Times New Roman"/>
          <w:sz w:val="20"/>
          <w:szCs w:val="20"/>
        </w:rPr>
        <w:t xml:space="preserve"> </w:t>
      </w:r>
      <w:r w:rsidRPr="00F46A86">
        <w:rPr>
          <w:rFonts w:eastAsia="Times New Roman" w:cs="Times New Roman"/>
          <w:sz w:val="20"/>
          <w:szCs w:val="20"/>
        </w:rPr>
        <w:t xml:space="preserve">Representations and warranties by the </w:t>
      </w:r>
      <w:r w:rsidR="00F252F3">
        <w:rPr>
          <w:rFonts w:eastAsia="Times New Roman" w:cs="Times New Roman"/>
          <w:sz w:val="20"/>
          <w:szCs w:val="20"/>
        </w:rPr>
        <w:t>l</w:t>
      </w:r>
      <w:r w:rsidRPr="00F46A86">
        <w:rPr>
          <w:rFonts w:eastAsia="Times New Roman" w:cs="Times New Roman"/>
          <w:sz w:val="20"/>
          <w:szCs w:val="20"/>
        </w:rPr>
        <w:t xml:space="preserve">ender for securities compliance, e.g., </w:t>
      </w:r>
      <w:r w:rsidRPr="00F46A86">
        <w:rPr>
          <w:rFonts w:cs="Times New Roman"/>
          <w:sz w:val="20"/>
          <w:szCs w:val="20"/>
        </w:rPr>
        <w:t>Organizational Status and Authority, Authorization and Enforceability, Accredited Lender Status, Purchased Entirely for Own Account, Disclosure of Information, Non-Reliance, Investment Experience, Restricted Investment, No Public Market, No General Solicitation, Residence, Foreign Investments.</w:t>
      </w:r>
    </w:p>
  </w:footnote>
  <w:footnote w:id="29">
    <w:p w14:paraId="37481869" w14:textId="40EC0A16" w:rsidR="00096492" w:rsidRDefault="00096492">
      <w:pPr>
        <w:pStyle w:val="FootnoteText"/>
      </w:pPr>
      <w:r>
        <w:rPr>
          <w:rStyle w:val="FootnoteReference"/>
        </w:rPr>
        <w:footnoteRef/>
      </w:r>
      <w:r>
        <w:t xml:space="preserve"> An RBL Agreement may include a mechanism to convert some or </w:t>
      </w:r>
      <w:proofErr w:type="gramStart"/>
      <w:r>
        <w:t>all of</w:t>
      </w:r>
      <w:proofErr w:type="gramEnd"/>
      <w:r>
        <w:t xml:space="preserve"> the RBL Obligation into equity of the Company, upon an Event of Default</w:t>
      </w:r>
      <w:r w:rsidR="00FD2701">
        <w:t>, a Change of Control or upon some other trigger. A lender may also require warrants as a condition of the RBL investment. The provisions</w:t>
      </w:r>
      <w:r w:rsidRPr="007F56C2">
        <w:rPr>
          <w:rFonts w:cs="Times New Roman"/>
        </w:rPr>
        <w:t xml:space="preserve"> included </w:t>
      </w:r>
      <w:r w:rsidR="00FD2701">
        <w:rPr>
          <w:rFonts w:cs="Times New Roman"/>
        </w:rPr>
        <w:t xml:space="preserve">here are </w:t>
      </w:r>
      <w:r w:rsidRPr="007F56C2">
        <w:rPr>
          <w:rFonts w:cs="Times New Roman"/>
        </w:rPr>
        <w:t>as an example only, and we expect the parties will negotiate specific definition</w:t>
      </w:r>
      <w:r w:rsidR="00FD2701">
        <w:rPr>
          <w:rFonts w:cs="Times New Roman"/>
        </w:rPr>
        <w:t>s and mechanisms</w:t>
      </w:r>
      <w:r w:rsidRPr="007F56C2">
        <w:rPr>
          <w:rFonts w:cs="Times New Roman"/>
        </w:rPr>
        <w:t xml:space="preserve"> that makes sense based on the Company’s business and operations on a case-by-case basis.</w:t>
      </w:r>
      <w:r w:rsidR="00FD2701">
        <w:rPr>
          <w:rFonts w:cs="Times New Roman"/>
        </w:rPr>
        <w:t xml:space="preserve"> Note that equity-related provisions would also influence the characterization of an RBF as “equity-like” or “loan-like”. See also discussion of RBL Obligation Adjustments in the prior section of this Term Sheet.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F15E" w14:textId="33FAF212" w:rsidR="00A50A17" w:rsidRPr="00A50A17" w:rsidRDefault="00A50A17" w:rsidP="00A50A17">
    <w:pPr>
      <w:pStyle w:val="Header"/>
      <w:jc w:val="right"/>
      <w:rPr>
        <w:i/>
        <w:iCs/>
        <w:sz w:val="22"/>
        <w:szCs w:val="22"/>
      </w:rPr>
    </w:pPr>
    <w:r w:rsidRPr="00A50A17">
      <w:rPr>
        <w:i/>
        <w:iCs/>
        <w:sz w:val="22"/>
        <w:szCs w:val="22"/>
      </w:rPr>
      <w:t>RBF (Loan Style) Term Sheet 11.</w:t>
    </w:r>
    <w:r w:rsidR="00DA36F5">
      <w:rPr>
        <w:i/>
        <w:iCs/>
        <w:sz w:val="22"/>
        <w:szCs w:val="22"/>
      </w:rPr>
      <w:t>29</w:t>
    </w:r>
    <w:r w:rsidRPr="00A50A17">
      <w:rPr>
        <w:i/>
        <w:iCs/>
        <w:sz w:val="22"/>
        <w:szCs w:val="22"/>
      </w:rPr>
      <w:t>.2022</w:t>
    </w:r>
  </w:p>
  <w:p w14:paraId="6FF6773A" w14:textId="77777777" w:rsidR="00A50A17" w:rsidRDefault="00A50A17" w:rsidP="00A50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5377" w14:textId="77777777" w:rsidR="00A50A17" w:rsidRPr="00A50A17" w:rsidRDefault="00A50A17" w:rsidP="00A50A17">
    <w:pPr>
      <w:pStyle w:val="Header"/>
      <w:jc w:val="right"/>
      <w:rPr>
        <w:i/>
        <w:iCs/>
        <w:sz w:val="22"/>
        <w:szCs w:val="22"/>
      </w:rPr>
    </w:pPr>
    <w:r w:rsidRPr="00A50A17">
      <w:rPr>
        <w:i/>
        <w:iCs/>
        <w:sz w:val="22"/>
        <w:szCs w:val="22"/>
      </w:rPr>
      <w:t>RPCK Draft – RBF (Loan Style) Term Sheet 11.13.2022</w:t>
    </w:r>
  </w:p>
  <w:p w14:paraId="392302D4" w14:textId="77777777" w:rsidR="00A50A17" w:rsidRDefault="00A50A17" w:rsidP="00A50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75A"/>
    <w:multiLevelType w:val="hybridMultilevel"/>
    <w:tmpl w:val="E4BE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805BE7"/>
    <w:multiLevelType w:val="multilevel"/>
    <w:tmpl w:val="CA1ADC14"/>
    <w:lvl w:ilvl="0">
      <w:start w:val="1"/>
      <w:numFmt w:val="decimal"/>
      <w:pStyle w:val="Heading1"/>
      <w:lvlText w:val="%1."/>
      <w:lvlJc w:val="left"/>
      <w:pPr>
        <w:ind w:left="720" w:hanging="720"/>
      </w:pPr>
    </w:lvl>
    <w:lvl w:ilvl="1">
      <w:start w:val="1"/>
      <w:numFmt w:val="decimal"/>
      <w:pStyle w:val="Heading2"/>
      <w:lvlText w:val="%2."/>
      <w:lvlJc w:val="left"/>
      <w:pPr>
        <w:ind w:left="1440" w:hanging="720"/>
      </w:pPr>
    </w:lvl>
    <w:lvl w:ilvl="2">
      <w:start w:val="1"/>
      <w:numFmt w:val="decimal"/>
      <w:pStyle w:val="Heading3"/>
      <w:lvlText w:val="%3."/>
      <w:lvlJc w:val="left"/>
      <w:pPr>
        <w:ind w:left="2160" w:hanging="720"/>
      </w:pPr>
    </w:lvl>
    <w:lvl w:ilvl="3">
      <w:start w:val="1"/>
      <w:numFmt w:val="decimal"/>
      <w:pStyle w:val="Heading4"/>
      <w:lvlText w:val="%4."/>
      <w:lvlJc w:val="left"/>
      <w:pPr>
        <w:ind w:left="2880" w:hanging="720"/>
      </w:pPr>
    </w:lvl>
    <w:lvl w:ilvl="4">
      <w:start w:val="1"/>
      <w:numFmt w:val="decimal"/>
      <w:pStyle w:val="Heading5"/>
      <w:lvlText w:val="%5."/>
      <w:lvlJc w:val="left"/>
      <w:pPr>
        <w:ind w:left="3600" w:hanging="720"/>
      </w:pPr>
    </w:lvl>
    <w:lvl w:ilvl="5">
      <w:start w:val="1"/>
      <w:numFmt w:val="decimal"/>
      <w:pStyle w:val="Heading6"/>
      <w:lvlText w:val="%6."/>
      <w:lvlJc w:val="left"/>
      <w:pPr>
        <w:ind w:left="4320" w:hanging="720"/>
      </w:pPr>
    </w:lvl>
    <w:lvl w:ilvl="6">
      <w:start w:val="1"/>
      <w:numFmt w:val="decimal"/>
      <w:pStyle w:val="Heading7"/>
      <w:lvlText w:val="%7."/>
      <w:lvlJc w:val="left"/>
      <w:pPr>
        <w:ind w:left="5040" w:hanging="720"/>
      </w:pPr>
    </w:lvl>
    <w:lvl w:ilvl="7">
      <w:start w:val="1"/>
      <w:numFmt w:val="decimal"/>
      <w:pStyle w:val="Heading8"/>
      <w:lvlText w:val="%8."/>
      <w:lvlJc w:val="left"/>
      <w:pPr>
        <w:ind w:left="5760" w:hanging="720"/>
      </w:pPr>
    </w:lvl>
    <w:lvl w:ilvl="8">
      <w:start w:val="1"/>
      <w:numFmt w:val="decimal"/>
      <w:pStyle w:val="Heading9"/>
      <w:lvlText w:val="%9."/>
      <w:lvlJc w:val="left"/>
      <w:pPr>
        <w:ind w:left="6480" w:hanging="720"/>
      </w:pPr>
    </w:lvl>
  </w:abstractNum>
  <w:abstractNum w:abstractNumId="2" w15:restartNumberingAfterBreak="0">
    <w:nsid w:val="67B71B16"/>
    <w:multiLevelType w:val="hybridMultilevel"/>
    <w:tmpl w:val="9C7E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9B056F"/>
    <w:multiLevelType w:val="multilevel"/>
    <w:tmpl w:val="5E36A24E"/>
    <w:lvl w:ilvl="0">
      <w:start w:val="1"/>
      <w:numFmt w:val="decimal"/>
      <w:pStyle w:val="ListNumber4"/>
      <w:lvlText w:val="%1."/>
      <w:lvlJc w:val="left"/>
      <w:pPr>
        <w:ind w:left="390" w:hanging="360"/>
      </w:pPr>
      <w:rPr>
        <w:rFonts w:ascii="Times New Roman" w:eastAsia="Calibri"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24534">
    <w:abstractNumId w:val="3"/>
  </w:num>
  <w:num w:numId="2" w16cid:durableId="244337934">
    <w:abstractNumId w:val="1"/>
  </w:num>
  <w:num w:numId="3" w16cid:durableId="1480731319">
    <w:abstractNumId w:val="0"/>
  </w:num>
  <w:num w:numId="4" w16cid:durableId="822090302">
    <w:abstractNumId w:val="2"/>
  </w:num>
  <w:num w:numId="5" w16cid:durableId="16889466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19472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57769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67427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75036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F04"/>
    <w:rsid w:val="0000462B"/>
    <w:rsid w:val="0000620E"/>
    <w:rsid w:val="00006EE0"/>
    <w:rsid w:val="000100DF"/>
    <w:rsid w:val="000116AB"/>
    <w:rsid w:val="00013867"/>
    <w:rsid w:val="000150F0"/>
    <w:rsid w:val="0002291F"/>
    <w:rsid w:val="0003798C"/>
    <w:rsid w:val="00046964"/>
    <w:rsid w:val="00063245"/>
    <w:rsid w:val="000679D8"/>
    <w:rsid w:val="00071F5C"/>
    <w:rsid w:val="00072C26"/>
    <w:rsid w:val="00087318"/>
    <w:rsid w:val="00096492"/>
    <w:rsid w:val="00097C73"/>
    <w:rsid w:val="000B0DC3"/>
    <w:rsid w:val="000B5D94"/>
    <w:rsid w:val="000C27A5"/>
    <w:rsid w:val="000C680D"/>
    <w:rsid w:val="000D61F6"/>
    <w:rsid w:val="000E2488"/>
    <w:rsid w:val="000F1127"/>
    <w:rsid w:val="000F4E3A"/>
    <w:rsid w:val="000F7675"/>
    <w:rsid w:val="001037B7"/>
    <w:rsid w:val="00113EB8"/>
    <w:rsid w:val="00121A10"/>
    <w:rsid w:val="00121E6A"/>
    <w:rsid w:val="001225DC"/>
    <w:rsid w:val="00125C7B"/>
    <w:rsid w:val="00127DC1"/>
    <w:rsid w:val="00131C4C"/>
    <w:rsid w:val="00135252"/>
    <w:rsid w:val="00143636"/>
    <w:rsid w:val="00164950"/>
    <w:rsid w:val="0017581D"/>
    <w:rsid w:val="0017667B"/>
    <w:rsid w:val="00177475"/>
    <w:rsid w:val="001935F5"/>
    <w:rsid w:val="00195350"/>
    <w:rsid w:val="001A7117"/>
    <w:rsid w:val="001A76AD"/>
    <w:rsid w:val="001C36BA"/>
    <w:rsid w:val="001C763C"/>
    <w:rsid w:val="001D0844"/>
    <w:rsid w:val="001D367F"/>
    <w:rsid w:val="001D538A"/>
    <w:rsid w:val="001E1C2C"/>
    <w:rsid w:val="001E1C72"/>
    <w:rsid w:val="001E2D6C"/>
    <w:rsid w:val="001E3B13"/>
    <w:rsid w:val="001E537A"/>
    <w:rsid w:val="001F27E5"/>
    <w:rsid w:val="00240E37"/>
    <w:rsid w:val="00241A86"/>
    <w:rsid w:val="00257824"/>
    <w:rsid w:val="00260E28"/>
    <w:rsid w:val="00284A4B"/>
    <w:rsid w:val="00293DA2"/>
    <w:rsid w:val="002A5FA9"/>
    <w:rsid w:val="002B14D1"/>
    <w:rsid w:val="002B2716"/>
    <w:rsid w:val="002B2889"/>
    <w:rsid w:val="002B366D"/>
    <w:rsid w:val="002B3CCB"/>
    <w:rsid w:val="002B53EF"/>
    <w:rsid w:val="002B5742"/>
    <w:rsid w:val="002B67EC"/>
    <w:rsid w:val="002B698A"/>
    <w:rsid w:val="002C182F"/>
    <w:rsid w:val="002C4EBF"/>
    <w:rsid w:val="002C540B"/>
    <w:rsid w:val="002D0DBE"/>
    <w:rsid w:val="002D50AF"/>
    <w:rsid w:val="002F00CE"/>
    <w:rsid w:val="002F09E2"/>
    <w:rsid w:val="00316A7D"/>
    <w:rsid w:val="003174A7"/>
    <w:rsid w:val="00323B90"/>
    <w:rsid w:val="00326BB7"/>
    <w:rsid w:val="00326E36"/>
    <w:rsid w:val="00327B11"/>
    <w:rsid w:val="00335635"/>
    <w:rsid w:val="0034085B"/>
    <w:rsid w:val="00345A0E"/>
    <w:rsid w:val="003514A1"/>
    <w:rsid w:val="003567FD"/>
    <w:rsid w:val="00362F88"/>
    <w:rsid w:val="00364C64"/>
    <w:rsid w:val="003658A3"/>
    <w:rsid w:val="0037092A"/>
    <w:rsid w:val="00374AE0"/>
    <w:rsid w:val="00374BF1"/>
    <w:rsid w:val="00385405"/>
    <w:rsid w:val="0038769B"/>
    <w:rsid w:val="00391371"/>
    <w:rsid w:val="00392102"/>
    <w:rsid w:val="00392847"/>
    <w:rsid w:val="00392969"/>
    <w:rsid w:val="00392CF4"/>
    <w:rsid w:val="003933B9"/>
    <w:rsid w:val="003A28FF"/>
    <w:rsid w:val="003A5C4B"/>
    <w:rsid w:val="003B2664"/>
    <w:rsid w:val="003B3CBB"/>
    <w:rsid w:val="003C6817"/>
    <w:rsid w:val="003D3BC2"/>
    <w:rsid w:val="003D779F"/>
    <w:rsid w:val="003E3572"/>
    <w:rsid w:val="003F57A9"/>
    <w:rsid w:val="004027AB"/>
    <w:rsid w:val="00406F1B"/>
    <w:rsid w:val="004074CC"/>
    <w:rsid w:val="00407E87"/>
    <w:rsid w:val="00413A33"/>
    <w:rsid w:val="00417654"/>
    <w:rsid w:val="004241DA"/>
    <w:rsid w:val="00424A8E"/>
    <w:rsid w:val="00427D8A"/>
    <w:rsid w:val="00436489"/>
    <w:rsid w:val="00451866"/>
    <w:rsid w:val="00453341"/>
    <w:rsid w:val="00454E8B"/>
    <w:rsid w:val="00455C3A"/>
    <w:rsid w:val="00463598"/>
    <w:rsid w:val="00467B74"/>
    <w:rsid w:val="004712F5"/>
    <w:rsid w:val="0047375A"/>
    <w:rsid w:val="00474231"/>
    <w:rsid w:val="00476798"/>
    <w:rsid w:val="004814F5"/>
    <w:rsid w:val="0048466A"/>
    <w:rsid w:val="00484CA2"/>
    <w:rsid w:val="00487A79"/>
    <w:rsid w:val="0049520E"/>
    <w:rsid w:val="00496C22"/>
    <w:rsid w:val="004A196D"/>
    <w:rsid w:val="004A629B"/>
    <w:rsid w:val="004B04B8"/>
    <w:rsid w:val="004B45EF"/>
    <w:rsid w:val="004B5759"/>
    <w:rsid w:val="004B7AF3"/>
    <w:rsid w:val="004D1978"/>
    <w:rsid w:val="004D4A67"/>
    <w:rsid w:val="004E4768"/>
    <w:rsid w:val="00511D91"/>
    <w:rsid w:val="005158F3"/>
    <w:rsid w:val="00524503"/>
    <w:rsid w:val="00524B10"/>
    <w:rsid w:val="00526177"/>
    <w:rsid w:val="00526283"/>
    <w:rsid w:val="0053403D"/>
    <w:rsid w:val="00540132"/>
    <w:rsid w:val="005412F9"/>
    <w:rsid w:val="00544D00"/>
    <w:rsid w:val="0054649F"/>
    <w:rsid w:val="00546815"/>
    <w:rsid w:val="00550891"/>
    <w:rsid w:val="00553F39"/>
    <w:rsid w:val="00556173"/>
    <w:rsid w:val="00560EE8"/>
    <w:rsid w:val="00561905"/>
    <w:rsid w:val="005640BC"/>
    <w:rsid w:val="00564F43"/>
    <w:rsid w:val="00571979"/>
    <w:rsid w:val="00572FAA"/>
    <w:rsid w:val="00576044"/>
    <w:rsid w:val="00580691"/>
    <w:rsid w:val="00590622"/>
    <w:rsid w:val="00590638"/>
    <w:rsid w:val="00593A2A"/>
    <w:rsid w:val="005A5BBA"/>
    <w:rsid w:val="005A6B0E"/>
    <w:rsid w:val="005B5943"/>
    <w:rsid w:val="005C5184"/>
    <w:rsid w:val="005D0974"/>
    <w:rsid w:val="005D2121"/>
    <w:rsid w:val="005E3327"/>
    <w:rsid w:val="005E3909"/>
    <w:rsid w:val="005E7078"/>
    <w:rsid w:val="005E7E9B"/>
    <w:rsid w:val="005F3090"/>
    <w:rsid w:val="005F5B70"/>
    <w:rsid w:val="00607394"/>
    <w:rsid w:val="00611F45"/>
    <w:rsid w:val="00614910"/>
    <w:rsid w:val="006351D3"/>
    <w:rsid w:val="006362E0"/>
    <w:rsid w:val="006375C0"/>
    <w:rsid w:val="00640F26"/>
    <w:rsid w:val="0064167F"/>
    <w:rsid w:val="00651240"/>
    <w:rsid w:val="006540C0"/>
    <w:rsid w:val="00657231"/>
    <w:rsid w:val="0065732B"/>
    <w:rsid w:val="006601C1"/>
    <w:rsid w:val="00664985"/>
    <w:rsid w:val="006715A3"/>
    <w:rsid w:val="006735E2"/>
    <w:rsid w:val="00673896"/>
    <w:rsid w:val="00677160"/>
    <w:rsid w:val="00681FFD"/>
    <w:rsid w:val="0069487B"/>
    <w:rsid w:val="00696ED7"/>
    <w:rsid w:val="006A2245"/>
    <w:rsid w:val="006B093F"/>
    <w:rsid w:val="006B1402"/>
    <w:rsid w:val="006B1BCF"/>
    <w:rsid w:val="006B48CA"/>
    <w:rsid w:val="006C070C"/>
    <w:rsid w:val="006C1114"/>
    <w:rsid w:val="006D22BC"/>
    <w:rsid w:val="006E79C3"/>
    <w:rsid w:val="007039CC"/>
    <w:rsid w:val="00714665"/>
    <w:rsid w:val="00715714"/>
    <w:rsid w:val="00715F9C"/>
    <w:rsid w:val="00724324"/>
    <w:rsid w:val="00744E87"/>
    <w:rsid w:val="00745EFF"/>
    <w:rsid w:val="0075557B"/>
    <w:rsid w:val="00757534"/>
    <w:rsid w:val="00761949"/>
    <w:rsid w:val="00773C2F"/>
    <w:rsid w:val="007773ED"/>
    <w:rsid w:val="00781F84"/>
    <w:rsid w:val="00782114"/>
    <w:rsid w:val="007822B9"/>
    <w:rsid w:val="007836EE"/>
    <w:rsid w:val="0078640A"/>
    <w:rsid w:val="007A1AA4"/>
    <w:rsid w:val="007A45C4"/>
    <w:rsid w:val="007A6CBE"/>
    <w:rsid w:val="007B5BF5"/>
    <w:rsid w:val="007C1467"/>
    <w:rsid w:val="007C71CA"/>
    <w:rsid w:val="007D079A"/>
    <w:rsid w:val="007D0B50"/>
    <w:rsid w:val="007D481E"/>
    <w:rsid w:val="007D51A4"/>
    <w:rsid w:val="007D7448"/>
    <w:rsid w:val="007F045B"/>
    <w:rsid w:val="007F0DC3"/>
    <w:rsid w:val="007F1C55"/>
    <w:rsid w:val="00806F7A"/>
    <w:rsid w:val="008118E6"/>
    <w:rsid w:val="00816B3E"/>
    <w:rsid w:val="00832847"/>
    <w:rsid w:val="00834AB0"/>
    <w:rsid w:val="00835E7D"/>
    <w:rsid w:val="00856BF8"/>
    <w:rsid w:val="00864A6C"/>
    <w:rsid w:val="00867C53"/>
    <w:rsid w:val="008737ED"/>
    <w:rsid w:val="00886B56"/>
    <w:rsid w:val="00896D6D"/>
    <w:rsid w:val="008A2070"/>
    <w:rsid w:val="008C367A"/>
    <w:rsid w:val="008C53BA"/>
    <w:rsid w:val="008E1930"/>
    <w:rsid w:val="008F7C48"/>
    <w:rsid w:val="00900452"/>
    <w:rsid w:val="00901CAF"/>
    <w:rsid w:val="00902D98"/>
    <w:rsid w:val="00903757"/>
    <w:rsid w:val="00920A45"/>
    <w:rsid w:val="0092117B"/>
    <w:rsid w:val="00924115"/>
    <w:rsid w:val="00924680"/>
    <w:rsid w:val="00932FC5"/>
    <w:rsid w:val="00942837"/>
    <w:rsid w:val="00943463"/>
    <w:rsid w:val="00946B05"/>
    <w:rsid w:val="00950562"/>
    <w:rsid w:val="0095515D"/>
    <w:rsid w:val="009575D8"/>
    <w:rsid w:val="00973449"/>
    <w:rsid w:val="009741AC"/>
    <w:rsid w:val="00980342"/>
    <w:rsid w:val="00984D89"/>
    <w:rsid w:val="009868FF"/>
    <w:rsid w:val="00987150"/>
    <w:rsid w:val="009910FA"/>
    <w:rsid w:val="00991EED"/>
    <w:rsid w:val="009947E9"/>
    <w:rsid w:val="009947F5"/>
    <w:rsid w:val="009A0BE6"/>
    <w:rsid w:val="009A7277"/>
    <w:rsid w:val="009B1533"/>
    <w:rsid w:val="009D1937"/>
    <w:rsid w:val="009D30B4"/>
    <w:rsid w:val="009D66AF"/>
    <w:rsid w:val="009E1B4C"/>
    <w:rsid w:val="009E3CFC"/>
    <w:rsid w:val="009F0A5E"/>
    <w:rsid w:val="009F0E33"/>
    <w:rsid w:val="009F3373"/>
    <w:rsid w:val="009F5CAD"/>
    <w:rsid w:val="009F79AB"/>
    <w:rsid w:val="00A0739C"/>
    <w:rsid w:val="00A1054F"/>
    <w:rsid w:val="00A20E8A"/>
    <w:rsid w:val="00A25C76"/>
    <w:rsid w:val="00A2611E"/>
    <w:rsid w:val="00A26276"/>
    <w:rsid w:val="00A32869"/>
    <w:rsid w:val="00A4499B"/>
    <w:rsid w:val="00A45479"/>
    <w:rsid w:val="00A50A17"/>
    <w:rsid w:val="00A51328"/>
    <w:rsid w:val="00A57EE9"/>
    <w:rsid w:val="00A83E35"/>
    <w:rsid w:val="00A91A78"/>
    <w:rsid w:val="00A96AAE"/>
    <w:rsid w:val="00AA236F"/>
    <w:rsid w:val="00AA3A50"/>
    <w:rsid w:val="00AA50FC"/>
    <w:rsid w:val="00AB2A9F"/>
    <w:rsid w:val="00AC654F"/>
    <w:rsid w:val="00AC7682"/>
    <w:rsid w:val="00AE1698"/>
    <w:rsid w:val="00AE2773"/>
    <w:rsid w:val="00AF4A3D"/>
    <w:rsid w:val="00AF5F79"/>
    <w:rsid w:val="00B00DB9"/>
    <w:rsid w:val="00B03A12"/>
    <w:rsid w:val="00B10235"/>
    <w:rsid w:val="00B15966"/>
    <w:rsid w:val="00B1691F"/>
    <w:rsid w:val="00B170C5"/>
    <w:rsid w:val="00B23BAC"/>
    <w:rsid w:val="00B310F3"/>
    <w:rsid w:val="00B44CCC"/>
    <w:rsid w:val="00B50EE3"/>
    <w:rsid w:val="00B61D78"/>
    <w:rsid w:val="00B63300"/>
    <w:rsid w:val="00B66C9C"/>
    <w:rsid w:val="00B73726"/>
    <w:rsid w:val="00B76615"/>
    <w:rsid w:val="00B96364"/>
    <w:rsid w:val="00BA68BB"/>
    <w:rsid w:val="00BA6F04"/>
    <w:rsid w:val="00BC264E"/>
    <w:rsid w:val="00BC7089"/>
    <w:rsid w:val="00BE08CC"/>
    <w:rsid w:val="00BE3A5E"/>
    <w:rsid w:val="00BE7C9D"/>
    <w:rsid w:val="00BF24C0"/>
    <w:rsid w:val="00C01E09"/>
    <w:rsid w:val="00C04410"/>
    <w:rsid w:val="00C04421"/>
    <w:rsid w:val="00C10324"/>
    <w:rsid w:val="00C120C8"/>
    <w:rsid w:val="00C12BBF"/>
    <w:rsid w:val="00C1686A"/>
    <w:rsid w:val="00C21A61"/>
    <w:rsid w:val="00C271E3"/>
    <w:rsid w:val="00C31584"/>
    <w:rsid w:val="00C36513"/>
    <w:rsid w:val="00C75A4F"/>
    <w:rsid w:val="00C8279B"/>
    <w:rsid w:val="00C82B0F"/>
    <w:rsid w:val="00C90B42"/>
    <w:rsid w:val="00C92D4F"/>
    <w:rsid w:val="00C97EBC"/>
    <w:rsid w:val="00CA2B4B"/>
    <w:rsid w:val="00CB43D9"/>
    <w:rsid w:val="00CB7F39"/>
    <w:rsid w:val="00CD0B2C"/>
    <w:rsid w:val="00CD66F9"/>
    <w:rsid w:val="00CE60E4"/>
    <w:rsid w:val="00CF25F8"/>
    <w:rsid w:val="00D0295F"/>
    <w:rsid w:val="00D02A36"/>
    <w:rsid w:val="00D03000"/>
    <w:rsid w:val="00D10809"/>
    <w:rsid w:val="00D1299B"/>
    <w:rsid w:val="00D134AE"/>
    <w:rsid w:val="00D14F8F"/>
    <w:rsid w:val="00D17E05"/>
    <w:rsid w:val="00D21AAB"/>
    <w:rsid w:val="00D2542D"/>
    <w:rsid w:val="00D323EC"/>
    <w:rsid w:val="00D3765A"/>
    <w:rsid w:val="00D4482C"/>
    <w:rsid w:val="00D45E88"/>
    <w:rsid w:val="00D461B5"/>
    <w:rsid w:val="00D56F53"/>
    <w:rsid w:val="00D62F8D"/>
    <w:rsid w:val="00D64D15"/>
    <w:rsid w:val="00D70D61"/>
    <w:rsid w:val="00D71E8F"/>
    <w:rsid w:val="00D81C56"/>
    <w:rsid w:val="00D84F20"/>
    <w:rsid w:val="00D86EAC"/>
    <w:rsid w:val="00D8735C"/>
    <w:rsid w:val="00D90864"/>
    <w:rsid w:val="00D90BE6"/>
    <w:rsid w:val="00D90FC9"/>
    <w:rsid w:val="00D95B71"/>
    <w:rsid w:val="00DA36F5"/>
    <w:rsid w:val="00DA6A4F"/>
    <w:rsid w:val="00DA7DF3"/>
    <w:rsid w:val="00DB1175"/>
    <w:rsid w:val="00DB2C66"/>
    <w:rsid w:val="00DB667E"/>
    <w:rsid w:val="00DB71E5"/>
    <w:rsid w:val="00DC03B6"/>
    <w:rsid w:val="00DC196E"/>
    <w:rsid w:val="00DC7CD1"/>
    <w:rsid w:val="00DD2A55"/>
    <w:rsid w:val="00DF0C0F"/>
    <w:rsid w:val="00DF2BDA"/>
    <w:rsid w:val="00E02FE6"/>
    <w:rsid w:val="00E05EFF"/>
    <w:rsid w:val="00E35B9F"/>
    <w:rsid w:val="00E4352D"/>
    <w:rsid w:val="00E460D3"/>
    <w:rsid w:val="00E61EF3"/>
    <w:rsid w:val="00E6763B"/>
    <w:rsid w:val="00E71FCA"/>
    <w:rsid w:val="00E72B4D"/>
    <w:rsid w:val="00E76022"/>
    <w:rsid w:val="00E85B7F"/>
    <w:rsid w:val="00E94661"/>
    <w:rsid w:val="00E97DA4"/>
    <w:rsid w:val="00EA36DE"/>
    <w:rsid w:val="00EA4D16"/>
    <w:rsid w:val="00EA649A"/>
    <w:rsid w:val="00EB0D89"/>
    <w:rsid w:val="00EC07A5"/>
    <w:rsid w:val="00EC32F4"/>
    <w:rsid w:val="00ED2F4D"/>
    <w:rsid w:val="00ED3B4B"/>
    <w:rsid w:val="00EE003C"/>
    <w:rsid w:val="00EE35FA"/>
    <w:rsid w:val="00EF426E"/>
    <w:rsid w:val="00F026F3"/>
    <w:rsid w:val="00F03DCA"/>
    <w:rsid w:val="00F17E0B"/>
    <w:rsid w:val="00F20B72"/>
    <w:rsid w:val="00F21615"/>
    <w:rsid w:val="00F219B4"/>
    <w:rsid w:val="00F21CBD"/>
    <w:rsid w:val="00F22266"/>
    <w:rsid w:val="00F24B84"/>
    <w:rsid w:val="00F252F3"/>
    <w:rsid w:val="00F26DC1"/>
    <w:rsid w:val="00F278A8"/>
    <w:rsid w:val="00F27E24"/>
    <w:rsid w:val="00F30AC2"/>
    <w:rsid w:val="00F45329"/>
    <w:rsid w:val="00F46A86"/>
    <w:rsid w:val="00F46DFA"/>
    <w:rsid w:val="00F52475"/>
    <w:rsid w:val="00F54608"/>
    <w:rsid w:val="00F56BC9"/>
    <w:rsid w:val="00F73AB7"/>
    <w:rsid w:val="00F81920"/>
    <w:rsid w:val="00F866EB"/>
    <w:rsid w:val="00F87733"/>
    <w:rsid w:val="00F927B9"/>
    <w:rsid w:val="00FB4DC5"/>
    <w:rsid w:val="00FC1CB0"/>
    <w:rsid w:val="00FC6080"/>
    <w:rsid w:val="00FC775C"/>
    <w:rsid w:val="00FC786A"/>
    <w:rsid w:val="00FD0843"/>
    <w:rsid w:val="00FD2701"/>
    <w:rsid w:val="00FD453F"/>
    <w:rsid w:val="00FF0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64B4E"/>
  <w15:docId w15:val="{5480AEB0-7A4B-45BF-A424-2EE94490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14"/>
    <w:rPr>
      <w:rFonts w:ascii="Times New Roman" w:hAnsi="Times New Roman"/>
    </w:rPr>
  </w:style>
  <w:style w:type="paragraph" w:styleId="Heading1">
    <w:name w:val="heading 1"/>
    <w:basedOn w:val="Normal"/>
    <w:link w:val="Heading1Char"/>
    <w:uiPriority w:val="9"/>
    <w:qFormat/>
    <w:rsid w:val="00F927CC"/>
    <w:pPr>
      <w:numPr>
        <w:numId w:val="2"/>
      </w:numPr>
      <w:spacing w:after="240"/>
      <w:jc w:val="both"/>
      <w:outlineLvl w:val="0"/>
    </w:pPr>
    <w:rPr>
      <w:rFonts w:ascii="Arial" w:eastAsia="Arial" w:hAnsi="Arial" w:cs="Arial"/>
      <w:kern w:val="28"/>
      <w:sz w:val="22"/>
      <w:szCs w:val="22"/>
    </w:rPr>
  </w:style>
  <w:style w:type="paragraph" w:styleId="Heading2">
    <w:name w:val="heading 2"/>
    <w:basedOn w:val="Normal"/>
    <w:link w:val="Heading2Char"/>
    <w:uiPriority w:val="9"/>
    <w:unhideWhenUsed/>
    <w:qFormat/>
    <w:rsid w:val="00F927CC"/>
    <w:pPr>
      <w:numPr>
        <w:ilvl w:val="1"/>
        <w:numId w:val="2"/>
      </w:numPr>
      <w:spacing w:after="240"/>
      <w:jc w:val="both"/>
      <w:outlineLvl w:val="1"/>
    </w:pPr>
    <w:rPr>
      <w:rFonts w:ascii="Arial" w:eastAsia="Arial" w:hAnsi="Arial" w:cs="Arial"/>
      <w:sz w:val="22"/>
      <w:szCs w:val="22"/>
    </w:rPr>
  </w:style>
  <w:style w:type="paragraph" w:styleId="Heading3">
    <w:name w:val="heading 3"/>
    <w:basedOn w:val="Normal"/>
    <w:link w:val="Heading3Char"/>
    <w:uiPriority w:val="9"/>
    <w:semiHidden/>
    <w:unhideWhenUsed/>
    <w:qFormat/>
    <w:rsid w:val="00F927CC"/>
    <w:pPr>
      <w:numPr>
        <w:ilvl w:val="2"/>
        <w:numId w:val="2"/>
      </w:numPr>
      <w:spacing w:after="240"/>
      <w:jc w:val="both"/>
      <w:outlineLvl w:val="2"/>
    </w:pPr>
    <w:rPr>
      <w:rFonts w:ascii="Arial" w:eastAsia="Arial" w:hAnsi="Arial" w:cs="Arial"/>
      <w:sz w:val="22"/>
      <w:szCs w:val="22"/>
    </w:rPr>
  </w:style>
  <w:style w:type="paragraph" w:styleId="Heading4">
    <w:name w:val="heading 4"/>
    <w:basedOn w:val="Normal"/>
    <w:link w:val="Heading4Char"/>
    <w:uiPriority w:val="9"/>
    <w:semiHidden/>
    <w:unhideWhenUsed/>
    <w:qFormat/>
    <w:rsid w:val="00F927CC"/>
    <w:pPr>
      <w:numPr>
        <w:ilvl w:val="3"/>
        <w:numId w:val="2"/>
      </w:numPr>
      <w:spacing w:after="240"/>
      <w:jc w:val="both"/>
      <w:outlineLvl w:val="3"/>
    </w:pPr>
    <w:rPr>
      <w:rFonts w:ascii="Arial" w:eastAsia="Arial" w:hAnsi="Arial" w:cs="Arial"/>
      <w:sz w:val="22"/>
      <w:szCs w:val="22"/>
    </w:rPr>
  </w:style>
  <w:style w:type="paragraph" w:styleId="Heading5">
    <w:name w:val="heading 5"/>
    <w:basedOn w:val="Normal"/>
    <w:link w:val="Heading5Char"/>
    <w:uiPriority w:val="9"/>
    <w:semiHidden/>
    <w:unhideWhenUsed/>
    <w:qFormat/>
    <w:rsid w:val="00F927CC"/>
    <w:pPr>
      <w:numPr>
        <w:ilvl w:val="4"/>
        <w:numId w:val="2"/>
      </w:numPr>
      <w:spacing w:after="240"/>
      <w:outlineLvl w:val="4"/>
    </w:pPr>
    <w:rPr>
      <w:rFonts w:ascii="Arial" w:eastAsia="Arial" w:hAnsi="Arial" w:cs="Arial"/>
      <w:sz w:val="22"/>
      <w:szCs w:val="22"/>
    </w:rPr>
  </w:style>
  <w:style w:type="paragraph" w:styleId="Heading6">
    <w:name w:val="heading 6"/>
    <w:basedOn w:val="Normal"/>
    <w:link w:val="Heading6Char"/>
    <w:uiPriority w:val="9"/>
    <w:semiHidden/>
    <w:unhideWhenUsed/>
    <w:qFormat/>
    <w:rsid w:val="00F927CC"/>
    <w:pPr>
      <w:numPr>
        <w:ilvl w:val="5"/>
        <w:numId w:val="2"/>
      </w:numPr>
      <w:spacing w:after="240"/>
      <w:outlineLvl w:val="5"/>
    </w:pPr>
    <w:rPr>
      <w:rFonts w:ascii="Arial" w:eastAsia="Arial" w:hAnsi="Arial" w:cs="Arial"/>
      <w:sz w:val="22"/>
      <w:szCs w:val="22"/>
    </w:rPr>
  </w:style>
  <w:style w:type="paragraph" w:styleId="Heading7">
    <w:name w:val="heading 7"/>
    <w:basedOn w:val="Normal"/>
    <w:link w:val="Heading7Char"/>
    <w:qFormat/>
    <w:rsid w:val="00F927CC"/>
    <w:pPr>
      <w:numPr>
        <w:ilvl w:val="6"/>
        <w:numId w:val="2"/>
      </w:numPr>
      <w:spacing w:after="240"/>
      <w:outlineLvl w:val="6"/>
    </w:pPr>
    <w:rPr>
      <w:rFonts w:ascii="Arial" w:eastAsia="Arial" w:hAnsi="Arial" w:cs="Arial"/>
      <w:sz w:val="22"/>
      <w:szCs w:val="22"/>
    </w:rPr>
  </w:style>
  <w:style w:type="paragraph" w:styleId="Heading8">
    <w:name w:val="heading 8"/>
    <w:basedOn w:val="Normal"/>
    <w:link w:val="Heading8Char"/>
    <w:qFormat/>
    <w:rsid w:val="00F927CC"/>
    <w:pPr>
      <w:numPr>
        <w:ilvl w:val="7"/>
        <w:numId w:val="2"/>
      </w:numPr>
      <w:spacing w:after="240"/>
      <w:outlineLvl w:val="7"/>
    </w:pPr>
    <w:rPr>
      <w:rFonts w:ascii="Arial" w:eastAsia="Arial" w:hAnsi="Arial" w:cs="Arial"/>
      <w:sz w:val="22"/>
      <w:szCs w:val="22"/>
    </w:rPr>
  </w:style>
  <w:style w:type="paragraph" w:styleId="Heading9">
    <w:name w:val="heading 9"/>
    <w:basedOn w:val="Normal"/>
    <w:link w:val="Heading9Char"/>
    <w:qFormat/>
    <w:rsid w:val="00F927CC"/>
    <w:pPr>
      <w:numPr>
        <w:ilvl w:val="8"/>
        <w:numId w:val="2"/>
      </w:numPr>
      <w:spacing w:after="240"/>
      <w:outlineLvl w:val="8"/>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F46081"/>
    <w:rPr>
      <w:rFonts w:cs="Times New Roman"/>
      <w:sz w:val="18"/>
      <w:szCs w:val="18"/>
    </w:rPr>
  </w:style>
  <w:style w:type="character" w:customStyle="1" w:styleId="BalloonTextChar">
    <w:name w:val="Balloon Text Char"/>
    <w:basedOn w:val="DefaultParagraphFont"/>
    <w:link w:val="BalloonText"/>
    <w:uiPriority w:val="99"/>
    <w:semiHidden/>
    <w:rsid w:val="00F46081"/>
    <w:rPr>
      <w:rFonts w:ascii="Times New Roman" w:hAnsi="Times New Roman" w:cs="Times New Roman"/>
      <w:sz w:val="18"/>
      <w:szCs w:val="18"/>
    </w:rPr>
  </w:style>
  <w:style w:type="table" w:styleId="TableGrid">
    <w:name w:val="Table Grid"/>
    <w:basedOn w:val="TableNormal"/>
    <w:uiPriority w:val="39"/>
    <w:rsid w:val="00614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141B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141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141B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F927CC"/>
    <w:rPr>
      <w:rFonts w:ascii="Arial" w:eastAsia="Arial" w:hAnsi="Arial" w:cs="Arial"/>
      <w:kern w:val="28"/>
      <w:sz w:val="22"/>
      <w:szCs w:val="22"/>
    </w:rPr>
  </w:style>
  <w:style w:type="character" w:customStyle="1" w:styleId="Heading2Char">
    <w:name w:val="Heading 2 Char"/>
    <w:basedOn w:val="DefaultParagraphFont"/>
    <w:link w:val="Heading2"/>
    <w:uiPriority w:val="9"/>
    <w:rsid w:val="00F927CC"/>
    <w:rPr>
      <w:rFonts w:ascii="Arial" w:eastAsia="Arial" w:hAnsi="Arial" w:cs="Arial"/>
      <w:sz w:val="22"/>
      <w:szCs w:val="22"/>
    </w:rPr>
  </w:style>
  <w:style w:type="character" w:customStyle="1" w:styleId="Heading3Char">
    <w:name w:val="Heading 3 Char"/>
    <w:basedOn w:val="DefaultParagraphFont"/>
    <w:link w:val="Heading3"/>
    <w:uiPriority w:val="9"/>
    <w:rsid w:val="00F927CC"/>
    <w:rPr>
      <w:rFonts w:ascii="Arial" w:eastAsia="Arial" w:hAnsi="Arial" w:cs="Arial"/>
      <w:sz w:val="22"/>
      <w:szCs w:val="22"/>
    </w:rPr>
  </w:style>
  <w:style w:type="character" w:customStyle="1" w:styleId="Heading4Char">
    <w:name w:val="Heading 4 Char"/>
    <w:basedOn w:val="DefaultParagraphFont"/>
    <w:link w:val="Heading4"/>
    <w:uiPriority w:val="9"/>
    <w:rsid w:val="00F927CC"/>
    <w:rPr>
      <w:rFonts w:ascii="Arial" w:eastAsia="Arial" w:hAnsi="Arial" w:cs="Arial"/>
      <w:sz w:val="22"/>
      <w:szCs w:val="22"/>
    </w:rPr>
  </w:style>
  <w:style w:type="character" w:customStyle="1" w:styleId="Heading5Char">
    <w:name w:val="Heading 5 Char"/>
    <w:basedOn w:val="DefaultParagraphFont"/>
    <w:link w:val="Heading5"/>
    <w:uiPriority w:val="9"/>
    <w:rsid w:val="00F927CC"/>
    <w:rPr>
      <w:rFonts w:ascii="Arial" w:eastAsia="Arial" w:hAnsi="Arial" w:cs="Arial"/>
      <w:sz w:val="22"/>
      <w:szCs w:val="22"/>
    </w:rPr>
  </w:style>
  <w:style w:type="character" w:customStyle="1" w:styleId="Heading6Char">
    <w:name w:val="Heading 6 Char"/>
    <w:basedOn w:val="DefaultParagraphFont"/>
    <w:link w:val="Heading6"/>
    <w:uiPriority w:val="9"/>
    <w:rsid w:val="00F927CC"/>
    <w:rPr>
      <w:rFonts w:ascii="Arial" w:eastAsia="Arial" w:hAnsi="Arial" w:cs="Arial"/>
      <w:sz w:val="22"/>
      <w:szCs w:val="22"/>
    </w:rPr>
  </w:style>
  <w:style w:type="character" w:customStyle="1" w:styleId="Heading7Char">
    <w:name w:val="Heading 7 Char"/>
    <w:basedOn w:val="DefaultParagraphFont"/>
    <w:link w:val="Heading7"/>
    <w:rsid w:val="00F927CC"/>
    <w:rPr>
      <w:rFonts w:ascii="Arial" w:eastAsia="Arial" w:hAnsi="Arial" w:cs="Arial"/>
      <w:sz w:val="22"/>
      <w:szCs w:val="22"/>
    </w:rPr>
  </w:style>
  <w:style w:type="character" w:customStyle="1" w:styleId="Heading8Char">
    <w:name w:val="Heading 8 Char"/>
    <w:basedOn w:val="DefaultParagraphFont"/>
    <w:link w:val="Heading8"/>
    <w:rsid w:val="00F927CC"/>
    <w:rPr>
      <w:rFonts w:ascii="Arial" w:eastAsia="Arial" w:hAnsi="Arial" w:cs="Arial"/>
      <w:sz w:val="22"/>
      <w:szCs w:val="22"/>
    </w:rPr>
  </w:style>
  <w:style w:type="character" w:customStyle="1" w:styleId="Heading9Char">
    <w:name w:val="Heading 9 Char"/>
    <w:basedOn w:val="DefaultParagraphFont"/>
    <w:link w:val="Heading9"/>
    <w:rsid w:val="00F927CC"/>
    <w:rPr>
      <w:rFonts w:ascii="Arial" w:eastAsia="Arial" w:hAnsi="Arial" w:cs="Arial"/>
      <w:sz w:val="22"/>
      <w:szCs w:val="22"/>
    </w:rPr>
  </w:style>
  <w:style w:type="paragraph" w:styleId="ListNumber4">
    <w:name w:val="List Number 4"/>
    <w:basedOn w:val="Normal"/>
    <w:rsid w:val="00F927CC"/>
    <w:pPr>
      <w:numPr>
        <w:numId w:val="1"/>
      </w:numPr>
      <w:jc w:val="both"/>
    </w:pPr>
    <w:rPr>
      <w:rFonts w:ascii="Arial" w:eastAsia="Arial" w:hAnsi="Arial" w:cs="Arial"/>
      <w:sz w:val="22"/>
      <w:szCs w:val="22"/>
    </w:rPr>
  </w:style>
  <w:style w:type="character" w:styleId="CommentReference">
    <w:name w:val="annotation reference"/>
    <w:basedOn w:val="DefaultParagraphFont"/>
    <w:uiPriority w:val="99"/>
    <w:unhideWhenUsed/>
    <w:rsid w:val="00FF5FBB"/>
    <w:rPr>
      <w:rFonts w:ascii="Times New Roman" w:hAnsi="Times New Roman"/>
      <w:sz w:val="16"/>
      <w:szCs w:val="16"/>
    </w:rPr>
  </w:style>
  <w:style w:type="paragraph" w:styleId="CommentText">
    <w:name w:val="annotation text"/>
    <w:basedOn w:val="Normal"/>
    <w:link w:val="CommentTextChar"/>
    <w:uiPriority w:val="99"/>
    <w:unhideWhenUsed/>
    <w:rsid w:val="00FF5FBB"/>
    <w:rPr>
      <w:sz w:val="20"/>
      <w:szCs w:val="20"/>
    </w:rPr>
  </w:style>
  <w:style w:type="character" w:customStyle="1" w:styleId="CommentTextChar">
    <w:name w:val="Comment Text Char"/>
    <w:basedOn w:val="DefaultParagraphFont"/>
    <w:link w:val="CommentText"/>
    <w:uiPriority w:val="99"/>
    <w:rsid w:val="00FF5FB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F5FBB"/>
    <w:rPr>
      <w:b/>
      <w:bCs/>
    </w:rPr>
  </w:style>
  <w:style w:type="character" w:customStyle="1" w:styleId="CommentSubjectChar">
    <w:name w:val="Comment Subject Char"/>
    <w:basedOn w:val="CommentTextChar"/>
    <w:link w:val="CommentSubject"/>
    <w:uiPriority w:val="99"/>
    <w:semiHidden/>
    <w:rsid w:val="00FF5FBB"/>
    <w:rPr>
      <w:rFonts w:ascii="Times New Roman" w:hAnsi="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tblPr>
      <w:tblStyleRowBandSize w:val="1"/>
      <w:tblStyleColBandSize w:val="1"/>
      <w:tblCellMar>
        <w:left w:w="115" w:type="dxa"/>
        <w:right w:w="115" w:type="dxa"/>
      </w:tblCellMar>
    </w:tblPr>
  </w:style>
  <w:style w:type="paragraph" w:styleId="FootnoteText">
    <w:name w:val="footnote text"/>
    <w:basedOn w:val="Normal"/>
    <w:link w:val="FootnoteTextChar"/>
    <w:uiPriority w:val="99"/>
    <w:unhideWhenUsed/>
    <w:rsid w:val="00F21615"/>
    <w:rPr>
      <w:sz w:val="20"/>
      <w:szCs w:val="20"/>
    </w:rPr>
  </w:style>
  <w:style w:type="character" w:customStyle="1" w:styleId="FootnoteTextChar">
    <w:name w:val="Footnote Text Char"/>
    <w:basedOn w:val="DefaultParagraphFont"/>
    <w:link w:val="FootnoteText"/>
    <w:uiPriority w:val="99"/>
    <w:rsid w:val="00F21615"/>
    <w:rPr>
      <w:rFonts w:ascii="Times New Roman" w:hAnsi="Times New Roman"/>
      <w:sz w:val="20"/>
      <w:szCs w:val="20"/>
    </w:rPr>
  </w:style>
  <w:style w:type="character" w:styleId="FootnoteReference">
    <w:name w:val="footnote reference"/>
    <w:basedOn w:val="DefaultParagraphFont"/>
    <w:uiPriority w:val="99"/>
    <w:semiHidden/>
    <w:unhideWhenUsed/>
    <w:rsid w:val="00F21615"/>
    <w:rPr>
      <w:rFonts w:ascii="Times New Roman" w:hAnsi="Times New Roman"/>
      <w:vertAlign w:val="superscript"/>
    </w:rPr>
  </w:style>
  <w:style w:type="paragraph" w:styleId="ListParagraph">
    <w:name w:val="List Paragraph"/>
    <w:basedOn w:val="Normal"/>
    <w:uiPriority w:val="34"/>
    <w:qFormat/>
    <w:rsid w:val="00D461B5"/>
    <w:pPr>
      <w:ind w:left="720"/>
      <w:contextualSpacing/>
    </w:pPr>
  </w:style>
  <w:style w:type="paragraph" w:styleId="Revision">
    <w:name w:val="Revision"/>
    <w:hidden/>
    <w:uiPriority w:val="99"/>
    <w:semiHidden/>
    <w:rsid w:val="00C01E09"/>
  </w:style>
  <w:style w:type="paragraph" w:styleId="Header">
    <w:name w:val="header"/>
    <w:basedOn w:val="Normal"/>
    <w:link w:val="HeaderChar"/>
    <w:uiPriority w:val="99"/>
    <w:unhideWhenUsed/>
    <w:rsid w:val="00984D89"/>
    <w:pPr>
      <w:tabs>
        <w:tab w:val="center" w:pos="4680"/>
        <w:tab w:val="right" w:pos="9360"/>
      </w:tabs>
    </w:pPr>
  </w:style>
  <w:style w:type="character" w:customStyle="1" w:styleId="HeaderChar">
    <w:name w:val="Header Char"/>
    <w:basedOn w:val="DefaultParagraphFont"/>
    <w:link w:val="Header"/>
    <w:uiPriority w:val="99"/>
    <w:rsid w:val="00984D89"/>
    <w:rPr>
      <w:rFonts w:ascii="Times New Roman" w:hAnsi="Times New Roman"/>
    </w:rPr>
  </w:style>
  <w:style w:type="paragraph" w:styleId="Footer">
    <w:name w:val="footer"/>
    <w:basedOn w:val="Normal"/>
    <w:link w:val="FooterChar"/>
    <w:uiPriority w:val="99"/>
    <w:unhideWhenUsed/>
    <w:rsid w:val="00984D89"/>
    <w:pPr>
      <w:tabs>
        <w:tab w:val="center" w:pos="4680"/>
        <w:tab w:val="right" w:pos="9360"/>
      </w:tabs>
    </w:pPr>
  </w:style>
  <w:style w:type="character" w:customStyle="1" w:styleId="FooterChar">
    <w:name w:val="Footer Char"/>
    <w:basedOn w:val="DefaultParagraphFont"/>
    <w:link w:val="Footer"/>
    <w:uiPriority w:val="99"/>
    <w:rsid w:val="00984D89"/>
    <w:rPr>
      <w:rFonts w:ascii="Times New Roman" w:hAnsi="Times New Roman"/>
    </w:rPr>
  </w:style>
  <w:style w:type="paragraph" w:styleId="BodyText">
    <w:name w:val="Body Text"/>
    <w:basedOn w:val="Normal"/>
    <w:link w:val="BodyTextChar"/>
    <w:uiPriority w:val="99"/>
    <w:unhideWhenUsed/>
    <w:rsid w:val="00374AE0"/>
    <w:pPr>
      <w:spacing w:after="120"/>
    </w:pPr>
  </w:style>
  <w:style w:type="character" w:customStyle="1" w:styleId="BodyTextChar">
    <w:name w:val="Body Text Char"/>
    <w:basedOn w:val="DefaultParagraphFont"/>
    <w:link w:val="BodyText"/>
    <w:uiPriority w:val="99"/>
    <w:rsid w:val="00374AE0"/>
    <w:rPr>
      <w:rFonts w:ascii="Times New Roman" w:hAnsi="Times New Roman"/>
    </w:rPr>
  </w:style>
  <w:style w:type="character" w:customStyle="1" w:styleId="Title-Subclause1">
    <w:name w:val="Title - Subclause 1"/>
    <w:basedOn w:val="DefaultParagraphFont"/>
    <w:uiPriority w:val="1"/>
    <w:qFormat/>
    <w:rsid w:val="006B093F"/>
    <w:rPr>
      <w:rFonts w:ascii="Times New Roman" w:hAnsi="Times New Roman" w:cs="Times New Roman"/>
      <w:b/>
      <w:dstrike w:val="0"/>
      <w:color w:val="000000"/>
      <w:sz w:val="24"/>
      <w:szCs w:val="22"/>
      <w:u w:val="none"/>
      <w:vertAlign w:val="baseline"/>
    </w:rPr>
  </w:style>
  <w:style w:type="paragraph" w:styleId="NormalWeb">
    <w:name w:val="Normal (Web)"/>
    <w:basedOn w:val="Normal"/>
    <w:uiPriority w:val="99"/>
    <w:semiHidden/>
    <w:unhideWhenUsed/>
    <w:rsid w:val="00DB2C66"/>
    <w:rPr>
      <w:rFonts w:cs="Times New Roman"/>
    </w:rPr>
  </w:style>
  <w:style w:type="character" w:styleId="PageNumber">
    <w:name w:val="page number"/>
    <w:basedOn w:val="DefaultParagraphFont"/>
    <w:uiPriority w:val="99"/>
    <w:semiHidden/>
    <w:unhideWhenUsed/>
    <w:rsid w:val="00921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92734">
      <w:bodyDiv w:val="1"/>
      <w:marLeft w:val="0"/>
      <w:marRight w:val="0"/>
      <w:marTop w:val="0"/>
      <w:marBottom w:val="0"/>
      <w:divBdr>
        <w:top w:val="none" w:sz="0" w:space="0" w:color="auto"/>
        <w:left w:val="none" w:sz="0" w:space="0" w:color="auto"/>
        <w:bottom w:val="none" w:sz="0" w:space="0" w:color="auto"/>
        <w:right w:val="none" w:sz="0" w:space="0" w:color="auto"/>
      </w:divBdr>
      <w:divsChild>
        <w:div w:id="1996377841">
          <w:marLeft w:val="0"/>
          <w:marRight w:val="0"/>
          <w:marTop w:val="0"/>
          <w:marBottom w:val="0"/>
          <w:divBdr>
            <w:top w:val="none" w:sz="0" w:space="0" w:color="auto"/>
            <w:left w:val="none" w:sz="0" w:space="0" w:color="auto"/>
            <w:bottom w:val="none" w:sz="0" w:space="0" w:color="auto"/>
            <w:right w:val="none" w:sz="0" w:space="0" w:color="auto"/>
          </w:divBdr>
          <w:divsChild>
            <w:div w:id="1836872818">
              <w:marLeft w:val="0"/>
              <w:marRight w:val="0"/>
              <w:marTop w:val="0"/>
              <w:marBottom w:val="0"/>
              <w:divBdr>
                <w:top w:val="none" w:sz="0" w:space="0" w:color="auto"/>
                <w:left w:val="none" w:sz="0" w:space="0" w:color="auto"/>
                <w:bottom w:val="none" w:sz="0" w:space="0" w:color="auto"/>
                <w:right w:val="none" w:sz="0" w:space="0" w:color="auto"/>
              </w:divBdr>
              <w:divsChild>
                <w:div w:id="1940327981">
                  <w:marLeft w:val="0"/>
                  <w:marRight w:val="0"/>
                  <w:marTop w:val="0"/>
                  <w:marBottom w:val="0"/>
                  <w:divBdr>
                    <w:top w:val="none" w:sz="0" w:space="0" w:color="auto"/>
                    <w:left w:val="none" w:sz="0" w:space="0" w:color="auto"/>
                    <w:bottom w:val="none" w:sz="0" w:space="0" w:color="auto"/>
                    <w:right w:val="none" w:sz="0" w:space="0" w:color="auto"/>
                  </w:divBdr>
                  <w:divsChild>
                    <w:div w:id="20899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94522">
      <w:bodyDiv w:val="1"/>
      <w:marLeft w:val="0"/>
      <w:marRight w:val="0"/>
      <w:marTop w:val="0"/>
      <w:marBottom w:val="0"/>
      <w:divBdr>
        <w:top w:val="none" w:sz="0" w:space="0" w:color="auto"/>
        <w:left w:val="none" w:sz="0" w:space="0" w:color="auto"/>
        <w:bottom w:val="none" w:sz="0" w:space="0" w:color="auto"/>
        <w:right w:val="none" w:sz="0" w:space="0" w:color="auto"/>
      </w:divBdr>
      <w:divsChild>
        <w:div w:id="195628566">
          <w:marLeft w:val="0"/>
          <w:marRight w:val="0"/>
          <w:marTop w:val="0"/>
          <w:marBottom w:val="0"/>
          <w:divBdr>
            <w:top w:val="none" w:sz="0" w:space="0" w:color="auto"/>
            <w:left w:val="none" w:sz="0" w:space="0" w:color="auto"/>
            <w:bottom w:val="none" w:sz="0" w:space="0" w:color="auto"/>
            <w:right w:val="none" w:sz="0" w:space="0" w:color="auto"/>
          </w:divBdr>
          <w:divsChild>
            <w:div w:id="1305044359">
              <w:marLeft w:val="0"/>
              <w:marRight w:val="0"/>
              <w:marTop w:val="0"/>
              <w:marBottom w:val="0"/>
              <w:divBdr>
                <w:top w:val="none" w:sz="0" w:space="0" w:color="auto"/>
                <w:left w:val="none" w:sz="0" w:space="0" w:color="auto"/>
                <w:bottom w:val="none" w:sz="0" w:space="0" w:color="auto"/>
                <w:right w:val="none" w:sz="0" w:space="0" w:color="auto"/>
              </w:divBdr>
              <w:divsChild>
                <w:div w:id="3204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novative.financ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catalyze.commun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N/J8qJy3OH4vAMvyaiPtLdF8uIw==">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</go:docsCustomData>
</go:gDocsCustomXmlDataStorage>
</file>

<file path=customXml/itemProps1.xml><?xml version="1.0" encoding="utf-8"?>
<ds:datastoreItem xmlns:ds="http://schemas.openxmlformats.org/officeDocument/2006/customXml" ds:itemID="{E1DF4629-D351-4331-BDED-3A3155A4C3D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Schumacher</dc:creator>
  <cp:lastModifiedBy>Michael Belles</cp:lastModifiedBy>
  <cp:revision>2</cp:revision>
  <cp:lastPrinted>2022-11-12T22:21:00Z</cp:lastPrinted>
  <dcterms:created xsi:type="dcterms:W3CDTF">2022-12-16T14:49:00Z</dcterms:created>
  <dcterms:modified xsi:type="dcterms:W3CDTF">2022-12-16T14:49:00Z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Revenue Based Loan Term Sheet v2 (RPCK Draft)(2022-11-13) - 11/17/2022 3:34:29 PM</vt:lpwstr>
  </property>
  <property fmtid="{D5CDD505-2E9C-101B-9397-08002B2CF9AE}" pid="3" name="DocXFormat">
    <vt:lpwstr>DefaultFormat</vt:lpwstr>
  </property>
  <property fmtid="{D5CDD505-2E9C-101B-9397-08002B2CF9AE}" pid="4" name="DocXLocation">
    <vt:lpwstr>Every Page</vt:lpwstr>
  </property>
</Properties>
</file>